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470B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color w:val="000000"/>
          <w:sz w:val="28"/>
          <w:szCs w:val="28"/>
        </w:rPr>
      </w:pPr>
      <w:r>
        <w:rPr>
          <w:rFonts w:hint="eastAsia" w:ascii="宋体" w:hAnsi="宋体" w:eastAsia="宋体"/>
          <w:b/>
          <w:sz w:val="28"/>
          <w:szCs w:val="28"/>
          <w:lang w:eastAsia="zh-CN"/>
        </w:rPr>
        <w:t>启东经济开发区新建、改造道路城市家具采购项目</w:t>
      </w:r>
      <w:r>
        <w:rPr>
          <w:rFonts w:hint="eastAsia" w:ascii="宋体" w:hAnsi="宋体" w:eastAsia="宋体" w:cs="宋体"/>
          <w:b/>
          <w:color w:val="000000"/>
          <w:sz w:val="28"/>
          <w:szCs w:val="28"/>
        </w:rPr>
        <w:t>市场询价公告</w:t>
      </w:r>
    </w:p>
    <w:p w14:paraId="3650A88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4"/>
        </w:rPr>
      </w:pPr>
      <w:r>
        <w:rPr>
          <w:rFonts w:hint="eastAsia" w:ascii="宋体" w:hAnsi="宋体" w:eastAsia="宋体"/>
          <w:sz w:val="24"/>
          <w:szCs w:val="24"/>
          <w:lang w:eastAsia="zh-CN"/>
        </w:rPr>
        <w:t>启东经济开发区新建、改造道路城市家具采购项目</w:t>
      </w:r>
      <w:r>
        <w:rPr>
          <w:rFonts w:hint="eastAsia" w:ascii="宋体" w:hAnsi="宋体" w:eastAsia="宋体"/>
          <w:sz w:val="24"/>
          <w:szCs w:val="24"/>
        </w:rPr>
        <w:t>即将实施，现就该</w:t>
      </w:r>
      <w:r>
        <w:rPr>
          <w:rFonts w:ascii="宋体" w:hAnsi="宋体" w:eastAsia="宋体"/>
          <w:sz w:val="24"/>
          <w:szCs w:val="24"/>
        </w:rPr>
        <w:t>项目</w:t>
      </w:r>
      <w:r>
        <w:rPr>
          <w:rFonts w:hint="eastAsia" w:ascii="宋体" w:hAnsi="宋体" w:eastAsia="宋体"/>
          <w:sz w:val="24"/>
          <w:szCs w:val="24"/>
        </w:rPr>
        <w:t>进行市场询价调研。</w:t>
      </w:r>
    </w:p>
    <w:p w14:paraId="343DB85B">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采购需求：</w:t>
      </w:r>
    </w:p>
    <w:p w14:paraId="2C56C70E">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启东经济开发区新建、改造道路城市家具采购项目，主要包括公交候车亭、隔离护栏（有花箱）、隔离护栏（无花箱）、成品座椅等，具体采购清单。</w:t>
      </w:r>
    </w:p>
    <w:tbl>
      <w:tblPr>
        <w:tblStyle w:val="9"/>
        <w:tblW w:w="9713" w:type="dxa"/>
        <w:tblInd w:w="-366" w:type="dxa"/>
        <w:tblLayout w:type="fixed"/>
        <w:tblCellMar>
          <w:top w:w="0" w:type="dxa"/>
          <w:left w:w="108" w:type="dxa"/>
          <w:bottom w:w="0" w:type="dxa"/>
          <w:right w:w="108" w:type="dxa"/>
        </w:tblCellMar>
      </w:tblPr>
      <w:tblGrid>
        <w:gridCol w:w="735"/>
        <w:gridCol w:w="1170"/>
        <w:gridCol w:w="6456"/>
        <w:gridCol w:w="676"/>
        <w:gridCol w:w="676"/>
      </w:tblGrid>
      <w:tr w14:paraId="7FB8352D">
        <w:tblPrEx>
          <w:tblCellMar>
            <w:top w:w="0" w:type="dxa"/>
            <w:left w:w="108" w:type="dxa"/>
            <w:bottom w:w="0" w:type="dxa"/>
            <w:right w:w="108" w:type="dxa"/>
          </w:tblCellMar>
        </w:tblPrEx>
        <w:trPr>
          <w:trHeight w:val="557" w:hRule="atLeast"/>
        </w:trPr>
        <w:tc>
          <w:tcPr>
            <w:tcW w:w="735" w:type="dxa"/>
            <w:vMerge w:val="restart"/>
            <w:tcBorders>
              <w:top w:val="single" w:color="000000" w:sz="4" w:space="0"/>
              <w:left w:val="single" w:color="000000" w:sz="4" w:space="0"/>
              <w:bottom w:val="single" w:color="000000" w:sz="4" w:space="0"/>
              <w:right w:val="single" w:color="000000" w:sz="4" w:space="0"/>
            </w:tcBorders>
            <w:noWrap/>
            <w:vAlign w:val="center"/>
          </w:tcPr>
          <w:p w14:paraId="0D3958F2">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rPr>
              <w:t>序号</w:t>
            </w:r>
          </w:p>
        </w:tc>
        <w:tc>
          <w:tcPr>
            <w:tcW w:w="1170" w:type="dxa"/>
            <w:vMerge w:val="restart"/>
            <w:tcBorders>
              <w:top w:val="single" w:color="000000" w:sz="4" w:space="0"/>
              <w:left w:val="single" w:color="000000" w:sz="4" w:space="0"/>
              <w:bottom w:val="single" w:color="000000" w:sz="4" w:space="0"/>
              <w:right w:val="single" w:color="000000" w:sz="4" w:space="0"/>
            </w:tcBorders>
            <w:vAlign w:val="center"/>
          </w:tcPr>
          <w:p w14:paraId="1FC857D4">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rPr>
              <w:t>名称</w:t>
            </w:r>
          </w:p>
        </w:tc>
        <w:tc>
          <w:tcPr>
            <w:tcW w:w="6456" w:type="dxa"/>
            <w:vMerge w:val="restart"/>
            <w:tcBorders>
              <w:top w:val="single" w:color="000000" w:sz="4" w:space="0"/>
              <w:left w:val="single" w:color="000000" w:sz="4" w:space="0"/>
              <w:bottom w:val="single" w:color="000000" w:sz="4" w:space="0"/>
              <w:right w:val="single" w:color="000000" w:sz="4" w:space="0"/>
            </w:tcBorders>
            <w:noWrap/>
            <w:vAlign w:val="center"/>
          </w:tcPr>
          <w:p w14:paraId="486F1CE0">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rPr>
              <w:t>规格参数</w:t>
            </w:r>
          </w:p>
        </w:tc>
        <w:tc>
          <w:tcPr>
            <w:tcW w:w="676" w:type="dxa"/>
            <w:vMerge w:val="restart"/>
            <w:tcBorders>
              <w:top w:val="single" w:color="000000" w:sz="4" w:space="0"/>
              <w:left w:val="single" w:color="000000" w:sz="4" w:space="0"/>
              <w:bottom w:val="single" w:color="000000" w:sz="4" w:space="0"/>
              <w:right w:val="single" w:color="000000" w:sz="4" w:space="0"/>
            </w:tcBorders>
            <w:noWrap/>
            <w:vAlign w:val="center"/>
          </w:tcPr>
          <w:p w14:paraId="0BEE6232">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rPr>
              <w:t>单位</w:t>
            </w:r>
          </w:p>
        </w:tc>
        <w:tc>
          <w:tcPr>
            <w:tcW w:w="676" w:type="dxa"/>
            <w:tcBorders>
              <w:top w:val="single" w:color="000000" w:sz="4" w:space="0"/>
              <w:left w:val="single" w:color="000000" w:sz="4" w:space="0"/>
              <w:bottom w:val="single" w:color="000000" w:sz="4" w:space="0"/>
              <w:right w:val="single" w:color="000000" w:sz="4" w:space="0"/>
            </w:tcBorders>
            <w:noWrap/>
            <w:vAlign w:val="center"/>
          </w:tcPr>
          <w:p w14:paraId="12D1631F">
            <w:pPr>
              <w:widowControl/>
              <w:jc w:val="center"/>
              <w:textAlignment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合计</w:t>
            </w:r>
          </w:p>
        </w:tc>
      </w:tr>
      <w:tr w14:paraId="5C8CC5AE">
        <w:tblPrEx>
          <w:tblCellMar>
            <w:top w:w="0" w:type="dxa"/>
            <w:left w:w="108" w:type="dxa"/>
            <w:bottom w:w="0" w:type="dxa"/>
            <w:right w:w="108" w:type="dxa"/>
          </w:tblCellMar>
        </w:tblPrEx>
        <w:trPr>
          <w:trHeight w:val="12564" w:hRule="atLeast"/>
        </w:trPr>
        <w:tc>
          <w:tcPr>
            <w:tcW w:w="735" w:type="dxa"/>
            <w:vMerge w:val="restart"/>
            <w:tcBorders>
              <w:top w:val="nil"/>
              <w:left w:val="single" w:color="000000" w:sz="4" w:space="0"/>
              <w:bottom w:val="single" w:color="000000" w:sz="4" w:space="0"/>
              <w:right w:val="single" w:color="000000" w:sz="4" w:space="0"/>
            </w:tcBorders>
            <w:noWrap/>
            <w:vAlign w:val="center"/>
          </w:tcPr>
          <w:p w14:paraId="18AC218C">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170" w:type="dxa"/>
            <w:vMerge w:val="restart"/>
            <w:tcBorders>
              <w:top w:val="nil"/>
              <w:left w:val="single" w:color="000000" w:sz="4" w:space="0"/>
              <w:bottom w:val="single" w:color="000000" w:sz="4" w:space="0"/>
              <w:right w:val="single" w:color="000000" w:sz="4" w:space="0"/>
            </w:tcBorders>
            <w:vAlign w:val="center"/>
          </w:tcPr>
          <w:p w14:paraId="76F6D8D9">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公交候车亭</w:t>
            </w:r>
          </w:p>
        </w:tc>
        <w:tc>
          <w:tcPr>
            <w:tcW w:w="6456" w:type="dxa"/>
            <w:vMerge w:val="restart"/>
            <w:tcBorders>
              <w:top w:val="nil"/>
              <w:left w:val="single" w:color="000000" w:sz="4" w:space="0"/>
              <w:bottom w:val="single" w:color="000000" w:sz="4" w:space="0"/>
              <w:right w:val="single" w:color="000000" w:sz="4" w:space="0"/>
            </w:tcBorders>
          </w:tcPr>
          <w:p w14:paraId="7764DCC1">
            <w:pPr>
              <w:widowControl/>
              <w:jc w:val="left"/>
              <w:textAlignment w:val="top"/>
              <w:rPr>
                <w:rFonts w:hint="eastAsia" w:ascii="宋体" w:hAnsi="宋体" w:eastAsia="宋体" w:cs="宋体"/>
                <w:color w:val="000000"/>
                <w:sz w:val="18"/>
                <w:szCs w:val="18"/>
              </w:rPr>
            </w:pPr>
            <w:r>
              <w:rPr>
                <w:rFonts w:hint="eastAsia" w:ascii="宋体" w:hAnsi="宋体" w:eastAsia="宋体" w:cs="宋体"/>
                <w:color w:val="000000"/>
                <w:kern w:val="0"/>
                <w:sz w:val="18"/>
                <w:szCs w:val="18"/>
              </w:rPr>
              <w:t>1、尺寸：18m*1.5m*2.995m高，含线缆敷设、基础、显示屏等，2880X1380X200厚热镀锌钢板定制外框深灰色金属漆，2880X1800X200厚热镀锌钢板定制外框深灰色金属漆，2厚热镀锌钢板折弯定制座椅深灰色金属漆，120X80X6厚T型钢梁，150X100X6厚T型钢梁，φ120X6厚横梁热镀锌钢管深灰色金属漆，灯箱主框采用2.0mm镀锌板折边焊接成型，设置防水沟槽内部焊接2.0mm镀锌板折边的加强板;灯箱门盖采用钢拉模型材成型，设计有玻璃安装位置，面板采用8mm黑边丝印钢化玻璃，小灯箱采用6mm黑边丝印钢化玻璃。通过了M胶及结构胶与灯箱门盖固定，门盖通过700N气撑杆开启，并采用专用防盗锁具闭合，安装有安全扣避免灯箱门盖意外开启，候车厅屋面采用12厚蜂窝铝板顶盖，深灰色金属漆，檐口滴水处理；所有钢材均采用热浸镀锌防腐处理，紧固件表面镀350g/m2,钢管钢板等 600g/m2，并进行喷塑处理，喷塑层厚度为 60ｕｍ，塑粉的品牌均应满足业主的要求，所有不锈钢表面均需喷氟碳漆。站名，白色发光水晶宇字体黑体，字高120，英文字高50，字凸出20</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55寸电子站牌技术参数，技术参数如下:</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1)电子站牌箱体及软件:独立式安装(含基础及接地)，尺寸暂定为高2.0米(地面以上),宽0.98米，深0.25米，颜色与站棚一致，防水防尘防盗</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2)钢化玻璃:钢化玻璃厚度如图所示，含四边高温油墨丝网印</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3)电子站牌电器部分:包括漏电开关，空开，开关电源、防雷保护器等全部采用耐低温材料器件</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4)电子站牌照明:采用最新LED对射照明系统，恒流源供电，采用优质散热器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5)户外55寸LCD液晶高亮显示器:高亮低功耗，工业面板IPS硬屏。分辨率1920*1080,屏幕比例16:9，亮度2000cd/m，对比度3000:1。</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6）嵌入式多媒体播放系统:全工业级，不低于RK3288 Coretex A53八核CPU,DDR-III 2Gbyte，8BGEMMC NAND芯片</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7）电子站牌集中控制子系统：采用工业级 LINUX 嵌入式系统；CPU：不低于 ARM926EJ；DDR：不低于 DDR-II 512Mbits；不低于非易失存储：128Mbits NOR FLASH、64Kbits FRAM；实时时钟：EPSON 工业级、内置温度补偿、超高精度 RTC 电路。故障记录能力：不低于 10000 条；10/100M以太网接口；RS485 通讯：3 路 RS485 通讯，符合工业 Modbus 通讯协议；RS232 通讯：2 路 DB9接口 RS232 通讯，1 路 TTS 语音接口通讯；系统冗余供电：2 路，可支持冗余供电，提高系统可靠性；超大功率智能开关：2 路，负载能力 30A；控制 LCD 背光电源开关；大功率智能开关：8路，负载能力 10A；控制照明、通讯、交换机、通讯、播放器、加热、风扇灯设备电源智能开关，并具备电流自检诊断功能；小功率智能开关：3 路，负载能力 0.5A，主要控制LED 控制卡电源开关及诊断。</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8）电子站牌无线通讯子系统：工业级4G全网通路由器，不含 SIM卡。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9）红外摄像机：200万像素，半球摄像机，焦距2.8mm。</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10）视频监控子系统：带 500G 硬盘存储。可接驳符合 ONVIF、PSIA、RTSP 标准及众多主流厂商的网络摄像机。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11）散热恒温系统：采用自动散热除湿系统，配置大功率风扇组散热，独立散热风道和散热技术，温湿度到达一定阈值范围，自动开启，低于一定温度自动关闭，可远程设置阈值 8 范围。包括温控器、2个横流风机，4个轴流风机。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12）TTS 语音播报子系统：语音功放输出报站，音量可远程调节。ARM7 CPU，DSP 模块。</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13）辅材：含安装线材、螺丝、内部配件等。</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14）外观美化：含灯箱画布、站头名、侧面名等打印、安装等（只负责一次打印、安装，如因数据不符、画布二次更换由客户另外付费）。</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15）运输费：含包装，装卸、保险等，批量运输。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16）集成调试费：含显示、监控、控制、供电、结构、加工工艺、高低温、IP 等级等 20多道检测工序，包含现场调试、培训等。</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嵌入式 LED 显示屏的技术参数如下：</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17）LED屏：显示点阵：96×192；像素间距：16 ㎜；显示颜色：双基色；LED 配置：2R1PG；工作温度、湿度：-30℃～+60℃、10%～95%；LED 视认角：70°；MTBF：≥10000 小时；亮度调节：32 级自动/手动调节；通信接口：RS232、RS485；电源：AC220V±10%，50Hz；防护等级：IP65；抗风速：40m/s；像素外壳：抗强酸强碱；电源：N+1 备份。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站台诱导系统包括公交信息的采集、处理和发布，公交信息来自于道路电视监视系统、公交信号控制系统、公交流量采集系统、车载 GPS 系统、停车场泊车位信息系统、人工采集以及相关单位和部门提供的动态信息等。</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系统组成：诱导系统主要由中心数据服务器、工作站、中心控制系统、通信系统、前端控制系统及 LED诱导屏等组成。可变情报板作为诱导系统的前端设备，设置于公交站台，入站公交信息，以便及时提醒乘客做好上车准备。可以显示国标一、二级字库中的所有汉字、GB2312 指定的全部汉字和数字字符或者随机图形，汉字点阵可以是 1616、2424、3232，具有楷体、仿宋等四种以上字体，还可显示英文字母、阿拉伯数字和特殊符号及图形。</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调光功能：具有适应环境亮度的自动/手动二种方式的调光功能。32 级调光、2～98%调光范围。无显示内容或电源故障时，显示屏自动关闭，呈黑屏状态，无任何亮点。</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带可视化自动巡检功能，即可通过视频实时观察诱导屏的工作状态。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设备箱内含有：工控机、本地监视面板、电源开关、配电端子、开关插座、防雷器、预留光端机安装位置全天24小时连续运行，电路板等器件进行三防处理。</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显示屏各发光像素发光均匀，无马赛克现象。显示屏所显示的字符、图形的视认性符合相应规定。显示屏能够接受中心远程控制和控制箱本地控制。显示屏亮度能够分为自动调节和手工调节两种，能够自动根据环境亮度调整，调整范围不得小于32级。调亮时能够在白天阳光直射显示屏面条件下，在规定的距离内清晰辨认显示内容；调暗时，在夜间无眩光现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金属构件接地良好，可靠实现工作接地和防雷接地，符合国家相关技术标准和要求。</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立柱、框架、支撑架、显示屏箱体、控制器箱体等产品构件安装牢固、结构稳定、边角过渡圆滑，无飞边、无毛刺。各种固定螺栓紧固，满足当地的气温、风、雨、雪、路面震动等屏体配备防雷电装置，每一根引入线均采取相应的防雷电保护措施。设备具备良好的抗干扰和雷电浪涌防护特性，电脉冲干扰防护和静电干扰防护达到 IEC801三级以上室外显示屏箱体和控制器箱体的安装，牢固端正，位置正确，部件齐全，出线管与箱体连接密封良好，各箱体之间的连线不外露。箱体及连接件防护罩色泽均匀，安装完成后无划伤裂痕。</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显示屏的图形、文字大小设置满足国家标准，其他技术参数符合相关标准。显示单元的前面不使用任何防护面板，以防止反射和眩光，面板具有抵抗雨、雪、雾及沙尘暴等恶劣气候的能力。显示单元设有遮阳罩，改善阳光直射时的观看效果。显示内容昼夜清楚可见，包括在太阳直射条件下。在正常天气下，静态视认距离：图形显示板大于 200 米，视认角为 30°。点间距（mm）： 16 像素组成： 2 红 1 绿 1 蓝</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LED 管采用定电流驱动，可变信息标志初始使用时正常状态下驱动电流限定不大于 16mA，具有过流保护功能（不大于 20mA）。LED 集束管为显示屏的基本显示单元，发光强度≥8000cd/m2；发光二极管的平均无故障时间 MTBF≥50000h。LED 集束管采用树脂材料灌注，为超高亮度、防</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水、防尘、防腐蚀、防干扰、防震动，野外型组件，装卸方便、可靠性高。</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LED 发光亮度可根据周围环境条件自动调节、系统设置定时调节和实时手动调节；调节级别 16 级。随着使用时间的推移，可变信息标志的正常限定驱动电流可通过系统远端设置来提高。</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所有 LED 发光单元采用模块结构，方便安装和维修，其可靠性较单个像素管结构大大提高；</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任何 LED 发光单元由模块组成、模块由集束像素组成，集束像象素由 LED 管封装而成，个别点的故障不会引起连锁反应，增加了部件的通用性和可互换性，方便了维修，减少了备件量。</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采用箱体结构，表面模块正面用进口胶封装，模块背面设计有防水胶圈，箱体背面在结构上有防水槽保证了箱体内部不受下雨的影响。</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在点阵的背面采用进口树脂封灌，焊锡采用抗氧化的锡膏，焊接工艺采用波峰焊，线路板具有绿油隔氧层，防止了线路的潮湿、氧化，提高使用寿命。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一是保证接地良好，接地电阻不大于 2 欧。二是在一般人能够摸到的地方绝缘电阻大于 10兆欧。三是分离强弱电接地。四是采用屏蔽网，防静电。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对线路板进行专业的防腐蚀处理，进行表面涂层处理，保证线路板的的防腐性能和焊点的防氧化处理。</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支架采用 LED 显示屏专用户外 304 不锈钢支架，用抱箍或其他紧固件与标志板和横梁固定，紧固件为304不锈钢制作，环氧树脂胶采用合格产品。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所有LED寿命能保障LED灯的寿命在10万小时以上。所有 IC器件均在正常使用条件下工作，保证具有 10 万小时以上的使用寿命。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产品中排风扇只有在温度高于 30 度时才启动、低于 25 度时自动关闭，节约电能及运行成本。</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各类接插件及电力开关等均采用双保险设计，保证产品中使用的接插件在使用寿命内具有可靠连接。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采用的塑料件、垫圈、密封胶均为进口材质，具有良好的抗老化功能，具有12万小时以上工作寿命。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所有金属件均经过严格三防处理，具备10万小时以上使用寿命。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采用标准化接口，具有良好的可扩展性，升级产品可直接替换。温度报警及保护、烟感报警及保护和其它故障检测及报警功能的实现提高了产品的使用寿命。每四个月一次的定期维护和清洁可保证系统的使用寿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所有诱导屏除技术要求满足上述功能外，还需保证设备安装调试后，确保与指挥中心联网，可实现远程控制。</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每个诱导屏单独设置一个控制箱和一个前端挂箱，控制箱设置在信号机或路灯箱变旁，前端挂箱用抱箍固定于现状门架的立柱上。</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站台内部使用接电线材采用YJV-0.6/1.0KV-3x6铜芯电缆，数据线采用单模4芯光纤，线材保护管采用75*4的PE80管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LED发光灯珠：灯箱内照明光源采用高效、节能、长寿的 LED 灯（或等待），温色，灯具的功率因数≥0.95，寿命大于4年</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浇筑基础时需打好接地棒，采用∠50*5mm 的热镀锌角铁，L=2500mm,埋深不小于 600mm，采用一根 40X4 热镀锌角铁与接地棒连接，接地电阻不小于 4 欧姆，如不满足，需增打接地棒</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各灯箱需安装广告材料喷绘布，具体大小视灯箱尺寸，内容有建设单位和公交公司确认。其面层为 PVC 高分子材料，吸墨性强、可直接进行喷绘。其基材类型为夹网布，有超强的抗拉强度，可直接喷绘，直接绷紧安装</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站台颜色与效果颜色一致，具体详见施工图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公交候车厅引入电缆YJV-3*10，海洪南路约1420m,开发大道约3380m，南苑西路约7360m,林洋南路约1740m，钱塘江路约1300m，华石路约13200m;投标单位自行踏勘现场考虑电缆长度，报价时综合考虑，结算时电缆工程量不作调整</w:t>
            </w:r>
          </w:p>
        </w:tc>
        <w:tc>
          <w:tcPr>
            <w:tcW w:w="676" w:type="dxa"/>
            <w:vMerge w:val="restart"/>
            <w:tcBorders>
              <w:top w:val="nil"/>
              <w:left w:val="single" w:color="000000" w:sz="4" w:space="0"/>
              <w:bottom w:val="single" w:color="000000" w:sz="4" w:space="0"/>
              <w:right w:val="single" w:color="000000" w:sz="4" w:space="0"/>
            </w:tcBorders>
            <w:vAlign w:val="center"/>
          </w:tcPr>
          <w:p w14:paraId="7F7C5AD7">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个</w:t>
            </w:r>
          </w:p>
        </w:tc>
        <w:tc>
          <w:tcPr>
            <w:tcW w:w="676" w:type="dxa"/>
            <w:tcBorders>
              <w:top w:val="nil"/>
              <w:left w:val="single" w:color="000000" w:sz="4" w:space="0"/>
              <w:bottom w:val="single" w:color="000000" w:sz="4" w:space="0"/>
              <w:right w:val="single" w:color="000000" w:sz="4" w:space="0"/>
            </w:tcBorders>
            <w:vAlign w:val="center"/>
          </w:tcPr>
          <w:p w14:paraId="101EC73B">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57</w:t>
            </w:r>
          </w:p>
        </w:tc>
      </w:tr>
      <w:tr w14:paraId="5446C6E9">
        <w:tblPrEx>
          <w:tblCellMar>
            <w:top w:w="0" w:type="dxa"/>
            <w:left w:w="108" w:type="dxa"/>
            <w:bottom w:w="0" w:type="dxa"/>
            <w:right w:w="108" w:type="dxa"/>
          </w:tblCellMar>
        </w:tblPrEx>
        <w:trPr>
          <w:trHeight w:val="4722" w:hRule="atLeast"/>
        </w:trPr>
        <w:tc>
          <w:tcPr>
            <w:tcW w:w="735" w:type="dxa"/>
            <w:vMerge w:val="continue"/>
            <w:tcBorders>
              <w:top w:val="nil"/>
              <w:left w:val="single" w:color="000000" w:sz="4" w:space="0"/>
              <w:bottom w:val="single" w:color="000000" w:sz="4" w:space="0"/>
              <w:right w:val="single" w:color="000000" w:sz="4" w:space="0"/>
            </w:tcBorders>
            <w:noWrap/>
            <w:vAlign w:val="center"/>
          </w:tcPr>
          <w:p w14:paraId="70445386">
            <w:pPr>
              <w:jc w:val="center"/>
              <w:rPr>
                <w:rFonts w:hint="eastAsia" w:ascii="宋体" w:hAnsi="宋体" w:eastAsia="宋体" w:cs="宋体"/>
                <w:color w:val="000000"/>
                <w:sz w:val="18"/>
                <w:szCs w:val="18"/>
              </w:rPr>
            </w:pPr>
          </w:p>
        </w:tc>
        <w:tc>
          <w:tcPr>
            <w:tcW w:w="1170" w:type="dxa"/>
            <w:vMerge w:val="continue"/>
            <w:tcBorders>
              <w:top w:val="nil"/>
              <w:left w:val="single" w:color="000000" w:sz="4" w:space="0"/>
              <w:bottom w:val="single" w:color="000000" w:sz="4" w:space="0"/>
              <w:right w:val="single" w:color="000000" w:sz="4" w:space="0"/>
            </w:tcBorders>
            <w:vAlign w:val="center"/>
          </w:tcPr>
          <w:p w14:paraId="2B519CFC">
            <w:pPr>
              <w:jc w:val="center"/>
              <w:rPr>
                <w:rFonts w:hint="eastAsia" w:ascii="宋体" w:hAnsi="宋体" w:eastAsia="宋体" w:cs="宋体"/>
                <w:color w:val="000000"/>
                <w:sz w:val="18"/>
                <w:szCs w:val="18"/>
              </w:rPr>
            </w:pPr>
          </w:p>
        </w:tc>
        <w:tc>
          <w:tcPr>
            <w:tcW w:w="6456" w:type="dxa"/>
            <w:vMerge w:val="continue"/>
            <w:tcBorders>
              <w:top w:val="nil"/>
              <w:left w:val="single" w:color="000000" w:sz="4" w:space="0"/>
              <w:bottom w:val="single" w:color="000000" w:sz="4" w:space="0"/>
              <w:right w:val="single" w:color="000000" w:sz="4" w:space="0"/>
            </w:tcBorders>
          </w:tcPr>
          <w:p w14:paraId="1188A5B5">
            <w:pPr>
              <w:jc w:val="left"/>
              <w:rPr>
                <w:rFonts w:hint="eastAsia" w:ascii="宋体" w:hAnsi="宋体" w:eastAsia="宋体" w:cs="宋体"/>
                <w:color w:val="000000"/>
                <w:sz w:val="18"/>
                <w:szCs w:val="18"/>
              </w:rPr>
            </w:pPr>
          </w:p>
        </w:tc>
        <w:tc>
          <w:tcPr>
            <w:tcW w:w="676" w:type="dxa"/>
            <w:vMerge w:val="continue"/>
            <w:tcBorders>
              <w:top w:val="nil"/>
              <w:left w:val="single" w:color="000000" w:sz="4" w:space="0"/>
              <w:bottom w:val="single" w:color="000000" w:sz="4" w:space="0"/>
              <w:right w:val="single" w:color="000000" w:sz="4" w:space="0"/>
            </w:tcBorders>
            <w:vAlign w:val="center"/>
          </w:tcPr>
          <w:p w14:paraId="143AD0DD">
            <w:pPr>
              <w:jc w:val="center"/>
              <w:rPr>
                <w:rFonts w:hint="eastAsia" w:ascii="宋体" w:hAnsi="宋体" w:eastAsia="宋体" w:cs="宋体"/>
                <w:color w:val="000000"/>
                <w:sz w:val="18"/>
                <w:szCs w:val="18"/>
              </w:rPr>
            </w:pPr>
          </w:p>
        </w:tc>
        <w:tc>
          <w:tcPr>
            <w:tcW w:w="676" w:type="dxa"/>
            <w:tcBorders>
              <w:top w:val="nil"/>
              <w:left w:val="single" w:color="000000" w:sz="4" w:space="0"/>
              <w:bottom w:val="single" w:color="000000" w:sz="4" w:space="0"/>
              <w:right w:val="single" w:color="000000" w:sz="4" w:space="0"/>
            </w:tcBorders>
            <w:vAlign w:val="center"/>
          </w:tcPr>
          <w:p w14:paraId="2C5AC863">
            <w:pPr>
              <w:jc w:val="center"/>
              <w:rPr>
                <w:rFonts w:hint="eastAsia" w:ascii="宋体" w:hAnsi="宋体" w:eastAsia="宋体" w:cs="宋体"/>
                <w:color w:val="000000"/>
                <w:sz w:val="18"/>
                <w:szCs w:val="18"/>
              </w:rPr>
            </w:pPr>
          </w:p>
        </w:tc>
      </w:tr>
      <w:tr w14:paraId="305F8436">
        <w:tblPrEx>
          <w:tblCellMar>
            <w:top w:w="0" w:type="dxa"/>
            <w:left w:w="108" w:type="dxa"/>
            <w:bottom w:w="0" w:type="dxa"/>
            <w:right w:w="108" w:type="dxa"/>
          </w:tblCellMar>
        </w:tblPrEx>
        <w:trPr>
          <w:trHeight w:val="2102" w:hRule="atLeast"/>
        </w:trPr>
        <w:tc>
          <w:tcPr>
            <w:tcW w:w="735" w:type="dxa"/>
            <w:tcBorders>
              <w:top w:val="nil"/>
              <w:left w:val="single" w:color="000000" w:sz="4" w:space="0"/>
              <w:bottom w:val="single" w:color="000000" w:sz="4" w:space="0"/>
              <w:right w:val="single" w:color="000000" w:sz="4" w:space="0"/>
            </w:tcBorders>
            <w:noWrap/>
            <w:vAlign w:val="center"/>
          </w:tcPr>
          <w:p w14:paraId="207A719A">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170" w:type="dxa"/>
            <w:tcBorders>
              <w:top w:val="single" w:color="000000" w:sz="4" w:space="0"/>
              <w:left w:val="single" w:color="000000" w:sz="4" w:space="0"/>
              <w:bottom w:val="single" w:color="000000" w:sz="4" w:space="0"/>
              <w:right w:val="single" w:color="000000" w:sz="4" w:space="0"/>
            </w:tcBorders>
            <w:vAlign w:val="center"/>
          </w:tcPr>
          <w:p w14:paraId="3EC59289">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隔离护栏（有花箱）</w:t>
            </w:r>
          </w:p>
        </w:tc>
        <w:tc>
          <w:tcPr>
            <w:tcW w:w="6456" w:type="dxa"/>
            <w:tcBorders>
              <w:top w:val="nil"/>
              <w:left w:val="single" w:color="000000" w:sz="4" w:space="0"/>
              <w:bottom w:val="single" w:color="000000" w:sz="4" w:space="0"/>
              <w:right w:val="single" w:color="000000" w:sz="4" w:space="0"/>
            </w:tcBorders>
            <w:vAlign w:val="center"/>
          </w:tcPr>
          <w:p w14:paraId="419D9E01">
            <w:pPr>
              <w:widowControl/>
              <w:jc w:val="left"/>
              <w:textAlignment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栏杆高1.2m内，立柱：100*50*3mm厚不锈钢方管（100*50*1.5mm厚不锈钢方管），横杆：80*40*2.5不锈钢方管、φ40*2.5不锈钢圆管，花箱1000*350*500mm，花箱壁厚2.5mm，栏杆表面均喷涂氟碳漆，栏杆上设置丝印logo（logo样式根据建设单位要求设置），具体详见施工图及效果图</w:t>
            </w:r>
          </w:p>
        </w:tc>
        <w:tc>
          <w:tcPr>
            <w:tcW w:w="676" w:type="dxa"/>
            <w:tcBorders>
              <w:top w:val="single" w:color="000000" w:sz="4" w:space="0"/>
              <w:left w:val="single" w:color="000000" w:sz="4" w:space="0"/>
              <w:bottom w:val="single" w:color="000000" w:sz="4" w:space="0"/>
              <w:right w:val="single" w:color="000000" w:sz="4" w:space="0"/>
            </w:tcBorders>
            <w:vAlign w:val="center"/>
          </w:tcPr>
          <w:p w14:paraId="12908D84">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m</w:t>
            </w:r>
          </w:p>
        </w:tc>
        <w:tc>
          <w:tcPr>
            <w:tcW w:w="676" w:type="dxa"/>
            <w:tcBorders>
              <w:top w:val="single" w:color="000000" w:sz="4" w:space="0"/>
              <w:left w:val="single" w:color="000000" w:sz="4" w:space="0"/>
              <w:bottom w:val="single" w:color="000000" w:sz="4" w:space="0"/>
              <w:right w:val="single" w:color="000000" w:sz="4" w:space="0"/>
            </w:tcBorders>
            <w:vAlign w:val="center"/>
          </w:tcPr>
          <w:p w14:paraId="27955FC6">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4349</w:t>
            </w:r>
          </w:p>
        </w:tc>
      </w:tr>
      <w:tr w14:paraId="73021883">
        <w:tblPrEx>
          <w:tblCellMar>
            <w:top w:w="0" w:type="dxa"/>
            <w:left w:w="108" w:type="dxa"/>
            <w:bottom w:w="0" w:type="dxa"/>
            <w:right w:w="108" w:type="dxa"/>
          </w:tblCellMar>
        </w:tblPrEx>
        <w:trPr>
          <w:trHeight w:val="1724" w:hRule="atLeast"/>
        </w:trPr>
        <w:tc>
          <w:tcPr>
            <w:tcW w:w="735" w:type="dxa"/>
            <w:tcBorders>
              <w:top w:val="nil"/>
              <w:left w:val="single" w:color="000000" w:sz="4" w:space="0"/>
              <w:bottom w:val="single" w:color="000000" w:sz="4" w:space="0"/>
              <w:right w:val="single" w:color="000000" w:sz="4" w:space="0"/>
            </w:tcBorders>
            <w:noWrap/>
            <w:vAlign w:val="center"/>
          </w:tcPr>
          <w:p w14:paraId="1559ECCB">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170" w:type="dxa"/>
            <w:tcBorders>
              <w:top w:val="single" w:color="000000" w:sz="4" w:space="0"/>
              <w:left w:val="single" w:color="000000" w:sz="4" w:space="0"/>
              <w:bottom w:val="single" w:color="000000" w:sz="4" w:space="0"/>
              <w:right w:val="single" w:color="000000" w:sz="4" w:space="0"/>
            </w:tcBorders>
            <w:vAlign w:val="center"/>
          </w:tcPr>
          <w:p w14:paraId="75931E3C">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隔离护栏（无花箱）</w:t>
            </w:r>
          </w:p>
        </w:tc>
        <w:tc>
          <w:tcPr>
            <w:tcW w:w="6456" w:type="dxa"/>
            <w:tcBorders>
              <w:top w:val="nil"/>
              <w:left w:val="single" w:color="000000" w:sz="4" w:space="0"/>
              <w:bottom w:val="single" w:color="000000" w:sz="4" w:space="0"/>
              <w:right w:val="single" w:color="000000" w:sz="4" w:space="0"/>
            </w:tcBorders>
            <w:vAlign w:val="center"/>
          </w:tcPr>
          <w:p w14:paraId="100862F4">
            <w:pPr>
              <w:widowControl/>
              <w:jc w:val="left"/>
              <w:textAlignment w:val="center"/>
              <w:rPr>
                <w:rFonts w:hint="eastAsia" w:ascii="宋体" w:hAnsi="宋体" w:eastAsia="宋体" w:cs="宋体"/>
                <w:color w:val="auto"/>
                <w:sz w:val="18"/>
                <w:szCs w:val="18"/>
              </w:rPr>
            </w:pPr>
            <w:r>
              <w:rPr>
                <w:rFonts w:hint="eastAsia" w:ascii="宋体" w:hAnsi="宋体" w:eastAsia="宋体" w:cs="宋体"/>
                <w:color w:val="auto"/>
                <w:kern w:val="0"/>
                <w:sz w:val="18"/>
                <w:szCs w:val="18"/>
              </w:rPr>
              <w:t>栏杆高1.2m内，立柱：100*50*3mm厚不锈钢方管（100*50*1.5mm厚不锈钢方管），横杆：80*40*2.5不锈钢方管、φ40*2.5不锈钢圆管，栏杆表面均喷涂氟碳漆，栏杆上设置丝印logo（logo样式根据建设单位要求设置），具体详见施工图及效果图</w:t>
            </w:r>
          </w:p>
        </w:tc>
        <w:tc>
          <w:tcPr>
            <w:tcW w:w="676" w:type="dxa"/>
            <w:tcBorders>
              <w:top w:val="single" w:color="000000" w:sz="4" w:space="0"/>
              <w:left w:val="single" w:color="000000" w:sz="4" w:space="0"/>
              <w:bottom w:val="single" w:color="000000" w:sz="4" w:space="0"/>
              <w:right w:val="single" w:color="000000" w:sz="4" w:space="0"/>
            </w:tcBorders>
            <w:vAlign w:val="center"/>
          </w:tcPr>
          <w:p w14:paraId="078A64FB">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m</w:t>
            </w:r>
          </w:p>
        </w:tc>
        <w:tc>
          <w:tcPr>
            <w:tcW w:w="676" w:type="dxa"/>
            <w:tcBorders>
              <w:top w:val="single" w:color="000000" w:sz="4" w:space="0"/>
              <w:left w:val="single" w:color="000000" w:sz="4" w:space="0"/>
              <w:bottom w:val="single" w:color="000000" w:sz="4" w:space="0"/>
              <w:right w:val="single" w:color="000000" w:sz="4" w:space="0"/>
            </w:tcBorders>
            <w:vAlign w:val="center"/>
          </w:tcPr>
          <w:p w14:paraId="3AC0E1A3">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16210.64</w:t>
            </w:r>
            <w:bookmarkStart w:id="0" w:name="_GoBack"/>
            <w:bookmarkEnd w:id="0"/>
          </w:p>
        </w:tc>
      </w:tr>
      <w:tr w14:paraId="492F26C2">
        <w:tblPrEx>
          <w:tblCellMar>
            <w:top w:w="0" w:type="dxa"/>
            <w:left w:w="108" w:type="dxa"/>
            <w:bottom w:w="0" w:type="dxa"/>
            <w:right w:w="108" w:type="dxa"/>
          </w:tblCellMar>
        </w:tblPrEx>
        <w:trPr>
          <w:trHeight w:val="1408"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14:paraId="137E5880">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170" w:type="dxa"/>
            <w:tcBorders>
              <w:top w:val="single" w:color="000000" w:sz="4" w:space="0"/>
              <w:left w:val="single" w:color="000000" w:sz="4" w:space="0"/>
              <w:bottom w:val="single" w:color="000000" w:sz="4" w:space="0"/>
              <w:right w:val="single" w:color="000000" w:sz="4" w:space="0"/>
            </w:tcBorders>
            <w:vAlign w:val="center"/>
          </w:tcPr>
          <w:p w14:paraId="0125C68E">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成品座椅</w:t>
            </w:r>
          </w:p>
        </w:tc>
        <w:tc>
          <w:tcPr>
            <w:tcW w:w="6456" w:type="dxa"/>
            <w:tcBorders>
              <w:top w:val="single" w:color="000000" w:sz="4" w:space="0"/>
              <w:left w:val="single" w:color="000000" w:sz="4" w:space="0"/>
              <w:bottom w:val="single" w:color="000000" w:sz="4" w:space="0"/>
              <w:right w:val="single" w:color="000000" w:sz="4" w:space="0"/>
            </w:tcBorders>
            <w:vAlign w:val="center"/>
          </w:tcPr>
          <w:p w14:paraId="19AF8E2B">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尺寸约为长1500x宽560x高860mm，材质PS塑木椅条，塑木应符合“GB/T24508-2020”木塑地板中的要求木质纹理，铸铝椅脚，具体详见施工图及效果图</w:t>
            </w:r>
          </w:p>
        </w:tc>
        <w:tc>
          <w:tcPr>
            <w:tcW w:w="676" w:type="dxa"/>
            <w:tcBorders>
              <w:top w:val="single" w:color="000000" w:sz="4" w:space="0"/>
              <w:left w:val="single" w:color="000000" w:sz="4" w:space="0"/>
              <w:bottom w:val="single" w:color="000000" w:sz="4" w:space="0"/>
              <w:right w:val="single" w:color="000000" w:sz="4" w:space="0"/>
            </w:tcBorders>
            <w:noWrap/>
            <w:vAlign w:val="center"/>
          </w:tcPr>
          <w:p w14:paraId="195F7A20">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个</w:t>
            </w:r>
          </w:p>
        </w:tc>
        <w:tc>
          <w:tcPr>
            <w:tcW w:w="676" w:type="dxa"/>
            <w:tcBorders>
              <w:top w:val="single" w:color="000000" w:sz="4" w:space="0"/>
              <w:left w:val="single" w:color="000000" w:sz="4" w:space="0"/>
              <w:bottom w:val="single" w:color="000000" w:sz="4" w:space="0"/>
              <w:right w:val="single" w:color="000000" w:sz="4" w:space="0"/>
            </w:tcBorders>
            <w:noWrap/>
            <w:vAlign w:val="center"/>
          </w:tcPr>
          <w:p w14:paraId="56E8B63D">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w:t>
            </w:r>
          </w:p>
        </w:tc>
      </w:tr>
      <w:tr w14:paraId="39D54582">
        <w:tblPrEx>
          <w:tblCellMar>
            <w:top w:w="0" w:type="dxa"/>
            <w:left w:w="108" w:type="dxa"/>
            <w:bottom w:w="0" w:type="dxa"/>
            <w:right w:w="108" w:type="dxa"/>
          </w:tblCellMar>
        </w:tblPrEx>
        <w:trPr>
          <w:trHeight w:val="983"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14:paraId="5C38465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c>
          <w:tcPr>
            <w:tcW w:w="1170" w:type="dxa"/>
            <w:tcBorders>
              <w:top w:val="single" w:color="000000" w:sz="4" w:space="0"/>
              <w:left w:val="single" w:color="000000" w:sz="4" w:space="0"/>
              <w:bottom w:val="single" w:color="000000" w:sz="4" w:space="0"/>
              <w:right w:val="single" w:color="000000" w:sz="4" w:space="0"/>
            </w:tcBorders>
            <w:vAlign w:val="center"/>
          </w:tcPr>
          <w:p w14:paraId="18E2E3B8">
            <w:pPr>
              <w:widowControl/>
              <w:jc w:val="center"/>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备注</w:t>
            </w:r>
          </w:p>
        </w:tc>
        <w:tc>
          <w:tcPr>
            <w:tcW w:w="7808" w:type="dxa"/>
            <w:gridSpan w:val="3"/>
            <w:tcBorders>
              <w:top w:val="single" w:color="000000" w:sz="4" w:space="0"/>
              <w:left w:val="single" w:color="000000" w:sz="4" w:space="0"/>
              <w:bottom w:val="single" w:color="000000" w:sz="4" w:space="0"/>
              <w:right w:val="single" w:color="000000" w:sz="4" w:space="0"/>
            </w:tcBorders>
            <w:vAlign w:val="center"/>
          </w:tcPr>
          <w:p w14:paraId="068DF9E4">
            <w:pPr>
              <w:rPr>
                <w:rFonts w:hint="eastAsia" w:ascii="宋体" w:hAnsi="宋体" w:eastAsia="宋体" w:cs="宋体"/>
                <w:sz w:val="18"/>
                <w:szCs w:val="18"/>
              </w:rPr>
            </w:pPr>
            <w:r>
              <w:rPr>
                <w:rFonts w:hint="eastAsia" w:ascii="宋体" w:hAnsi="宋体" w:eastAsia="宋体" w:cs="宋体"/>
                <w:color w:val="000000"/>
                <w:kern w:val="0"/>
                <w:sz w:val="18"/>
                <w:szCs w:val="18"/>
              </w:rPr>
              <w:t xml:space="preserve">本项目所列采购数量为暂估工程量，仅作为投标报价的计算基础，不作为最终结算依据。最终结算数量以采购人实际下达的供货需求、实际验收合格的供货数量为准。若项目实施过程中，采购人实际供货需求、最终验收合格的供货量少于本项目暂估采购量，供应商不得就差额部分向采购人提出任何形式的索赔、补偿要求，采购人仅按实际供货数量与中标单价进行结算。 </w:t>
            </w:r>
          </w:p>
          <w:p w14:paraId="4E736A9C">
            <w:pPr>
              <w:widowControl/>
              <w:jc w:val="center"/>
              <w:textAlignment w:val="center"/>
              <w:rPr>
                <w:rFonts w:hint="eastAsia" w:ascii="宋体" w:hAnsi="宋体" w:eastAsia="宋体" w:cs="宋体"/>
                <w:color w:val="000000"/>
                <w:kern w:val="0"/>
                <w:sz w:val="18"/>
                <w:szCs w:val="18"/>
              </w:rPr>
            </w:pPr>
          </w:p>
        </w:tc>
      </w:tr>
    </w:tbl>
    <w:p w14:paraId="30C444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color w:val="000000"/>
          <w:kern w:val="0"/>
          <w:sz w:val="24"/>
          <w:szCs w:val="24"/>
        </w:rPr>
        <w:t>备注：本项目所列采购数量为暂估工程量，仅作为投标报价的计算基础，不作为最终结算依据。最终结算数量以采购人实际下达的供货需求、实际验收合格的供货数量为准。若项目实施过程中，采购人实际供货需求、最终验收合格的供货量少于本项目暂估采购量，供应商不得就差额部分向采购人提出任何形式的索赔、补偿要求，采购人仅按实际供货数量与中标单价进行结算。</w:t>
      </w:r>
    </w:p>
    <w:p w14:paraId="467C8039">
      <w:pPr>
        <w:keepNext w:val="0"/>
        <w:keepLines w:val="0"/>
        <w:pageBreakBefore w:val="0"/>
        <w:wordWrap/>
        <w:overflowPunct/>
        <w:bidi w:val="0"/>
        <w:snapToGrid w:val="0"/>
        <w:spacing w:line="312" w:lineRule="auto"/>
        <w:ind w:firstLine="480" w:firstLineChars="200"/>
        <w:jc w:val="left"/>
        <w:rPr>
          <w:rFonts w:hint="eastAsia" w:ascii="宋体" w:hAnsi="宋体" w:eastAsia="宋体" w:cs="宋体"/>
          <w:color w:val="auto"/>
          <w:sz w:val="24"/>
          <w:szCs w:val="24"/>
          <w:lang w:eastAsia="zh-CN"/>
        </w:rPr>
      </w:pPr>
    </w:p>
    <w:p w14:paraId="54BA9725">
      <w:pPr>
        <w:keepNext w:val="0"/>
        <w:keepLines w:val="0"/>
        <w:pageBreakBefore w:val="0"/>
        <w:wordWrap/>
        <w:overflowPunct/>
        <w:bidi w:val="0"/>
        <w:snapToGrid w:val="0"/>
        <w:spacing w:line="312"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二</w:t>
      </w:r>
      <w:r>
        <w:rPr>
          <w:rFonts w:hint="eastAsia" w:ascii="宋体" w:hAnsi="宋体" w:eastAsia="宋体" w:cs="宋体"/>
          <w:color w:val="auto"/>
          <w:sz w:val="24"/>
          <w:szCs w:val="24"/>
        </w:rPr>
        <w:t>、报价供应商的要求：</w:t>
      </w:r>
    </w:p>
    <w:p w14:paraId="785978BE">
      <w:pPr>
        <w:pStyle w:val="8"/>
        <w:keepNext w:val="0"/>
        <w:keepLines w:val="0"/>
        <w:pageBreakBefore w:val="0"/>
        <w:widowControl/>
        <w:wordWrap/>
        <w:overflowPunct/>
        <w:bidi w:val="0"/>
        <w:spacing w:line="312" w:lineRule="auto"/>
        <w:ind w:firstLine="560"/>
        <w:jc w:val="both"/>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1.符合《中华人民共和国政府采购法》第二十二条的规定；</w:t>
      </w:r>
    </w:p>
    <w:p w14:paraId="20659707">
      <w:pPr>
        <w:pStyle w:val="8"/>
        <w:keepNext w:val="0"/>
        <w:keepLines w:val="0"/>
        <w:pageBreakBefore w:val="0"/>
        <w:widowControl/>
        <w:wordWrap/>
        <w:overflowPunct/>
        <w:bidi w:val="0"/>
        <w:spacing w:line="312" w:lineRule="auto"/>
        <w:ind w:firstLine="560"/>
        <w:jc w:val="both"/>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val="en-US" w:eastAsia="zh-CN"/>
        </w:rPr>
        <w:t>2</w:t>
      </w:r>
      <w:r>
        <w:rPr>
          <w:rFonts w:hint="eastAsia" w:ascii="宋体" w:hAnsi="宋体" w:eastAsia="宋体" w:cs="宋体"/>
          <w:color w:val="auto"/>
          <w:kern w:val="2"/>
          <w:sz w:val="24"/>
          <w:szCs w:val="24"/>
        </w:rPr>
        <w:t>.报价</w:t>
      </w:r>
      <w:r>
        <w:rPr>
          <w:rFonts w:hint="eastAsia" w:ascii="宋体" w:hAnsi="宋体" w:eastAsia="宋体" w:cs="宋体"/>
          <w:color w:val="auto"/>
          <w:kern w:val="2"/>
          <w:sz w:val="24"/>
          <w:szCs w:val="24"/>
          <w:lang w:eastAsia="zh-CN"/>
        </w:rPr>
        <w:t>供应商应</w:t>
      </w:r>
      <w:r>
        <w:rPr>
          <w:rFonts w:hint="eastAsia" w:ascii="宋体" w:hAnsi="宋体" w:eastAsia="宋体" w:cs="宋体"/>
          <w:color w:val="000000" w:themeColor="text1"/>
          <w:sz w:val="24"/>
          <w:szCs w:val="24"/>
          <w14:textFill>
            <w14:solidFill>
              <w14:schemeClr w14:val="tx1"/>
            </w14:solidFill>
          </w14:textFill>
        </w:rPr>
        <w:t>具备有效的营业执照。</w:t>
      </w:r>
    </w:p>
    <w:p w14:paraId="52269DF4">
      <w:pPr>
        <w:keepNext w:val="0"/>
        <w:keepLines w:val="0"/>
        <w:pageBreakBefore w:val="0"/>
        <w:wordWrap/>
        <w:overflowPunct/>
        <w:bidi w:val="0"/>
        <w:spacing w:line="312"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五</w:t>
      </w:r>
      <w:r>
        <w:rPr>
          <w:rFonts w:hint="eastAsia" w:ascii="宋体" w:hAnsi="宋体" w:eastAsia="宋体" w:cs="宋体"/>
          <w:color w:val="auto"/>
          <w:sz w:val="24"/>
          <w:szCs w:val="24"/>
        </w:rPr>
        <w:t>、约定事项</w:t>
      </w:r>
    </w:p>
    <w:p w14:paraId="723235A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1、参与报价的单位需将法人营业执照复印件和</w:t>
      </w:r>
      <w:r>
        <w:rPr>
          <w:rFonts w:hint="eastAsia" w:ascii="宋体" w:hAnsi="宋体" w:eastAsia="宋体" w:cs="宋体"/>
          <w:color w:val="auto"/>
          <w:sz w:val="24"/>
          <w:szCs w:val="24"/>
          <w:lang w:eastAsia="zh-CN"/>
        </w:rPr>
        <w:t>报价</w:t>
      </w:r>
      <w:r>
        <w:rPr>
          <w:rFonts w:hint="eastAsia" w:ascii="宋体" w:hAnsi="宋体" w:eastAsia="宋体" w:cs="宋体"/>
          <w:color w:val="auto"/>
          <w:sz w:val="24"/>
          <w:szCs w:val="24"/>
        </w:rPr>
        <w:t>表于</w:t>
      </w:r>
      <w:r>
        <w:rPr>
          <w:rFonts w:hint="eastAsia" w:ascii="宋体" w:hAnsi="宋体" w:eastAsia="宋体" w:cs="宋体"/>
          <w:color w:val="auto"/>
          <w:sz w:val="24"/>
          <w:szCs w:val="24"/>
          <w:lang w:val="en-US" w:eastAsia="zh-CN"/>
        </w:rPr>
        <w:t>2026</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日17:00前，送或寄（以邮戳为准）</w:t>
      </w:r>
      <w:r>
        <w:rPr>
          <w:rFonts w:hint="eastAsia" w:ascii="宋体" w:hAnsi="宋体" w:eastAsia="宋体" w:cs="宋体"/>
          <w:color w:val="auto"/>
          <w:sz w:val="24"/>
          <w:szCs w:val="24"/>
          <w:lang w:val="en-US" w:eastAsia="zh-CN"/>
        </w:rPr>
        <w:t>启东市林洋路500号锦汇集团货架</w:t>
      </w:r>
      <w:r>
        <w:rPr>
          <w:rFonts w:hint="eastAsia" w:ascii="宋体" w:hAnsi="宋体" w:eastAsia="宋体" w:cs="宋体"/>
          <w:color w:val="auto"/>
          <w:sz w:val="24"/>
          <w:szCs w:val="24"/>
        </w:rPr>
        <w:t>，联系人：</w:t>
      </w:r>
      <w:r>
        <w:rPr>
          <w:rFonts w:hint="eastAsia" w:ascii="宋体" w:hAnsi="宋体" w:eastAsia="宋体" w:cs="宋体"/>
          <w:color w:val="auto"/>
          <w:sz w:val="24"/>
          <w:szCs w:val="24"/>
          <w:lang w:val="en-US" w:eastAsia="zh-CN"/>
        </w:rPr>
        <w:t>林先生</w:t>
      </w:r>
      <w:r>
        <w:rPr>
          <w:rFonts w:hint="eastAsia" w:ascii="宋体" w:hAnsi="宋体" w:eastAsia="宋体" w:cs="宋体"/>
          <w:color w:val="auto"/>
          <w:sz w:val="24"/>
          <w:szCs w:val="24"/>
        </w:rPr>
        <w:t>，联系电话：</w:t>
      </w:r>
      <w:r>
        <w:rPr>
          <w:rFonts w:hint="eastAsia" w:ascii="宋体" w:hAnsi="宋体" w:eastAsia="宋体" w:cs="宋体"/>
          <w:color w:val="auto"/>
          <w:sz w:val="24"/>
          <w:szCs w:val="24"/>
          <w:lang w:val="en-US" w:eastAsia="zh-CN"/>
        </w:rPr>
        <w:t>0513-69961334</w:t>
      </w:r>
      <w:r>
        <w:rPr>
          <w:rFonts w:hint="eastAsia" w:ascii="宋体" w:hAnsi="宋体" w:eastAsia="宋体" w:cs="宋体"/>
          <w:color w:val="auto"/>
          <w:sz w:val="24"/>
          <w:szCs w:val="24"/>
        </w:rPr>
        <w:t>。</w:t>
      </w:r>
      <w:r>
        <w:rPr>
          <w:rFonts w:hint="eastAsia" w:ascii="宋体" w:hAnsi="宋体" w:eastAsia="宋体" w:cs="宋体"/>
          <w:bCs/>
          <w:color w:val="auto"/>
          <w:kern w:val="0"/>
          <w:sz w:val="24"/>
          <w:szCs w:val="24"/>
          <w:highlight w:val="none"/>
          <w:lang w:eastAsia="zh-CN"/>
        </w:rPr>
        <w:t>电子版资料同步</w:t>
      </w:r>
      <w:r>
        <w:rPr>
          <w:rFonts w:hint="eastAsia" w:ascii="宋体" w:hAnsi="宋体" w:eastAsia="宋体" w:cs="宋体"/>
          <w:bCs/>
          <w:color w:val="auto"/>
          <w:kern w:val="0"/>
          <w:sz w:val="24"/>
          <w:szCs w:val="24"/>
          <w:highlight w:val="none"/>
        </w:rPr>
        <w:t>发送电子邮件至邮箱</w:t>
      </w:r>
      <w:r>
        <w:rPr>
          <w:rFonts w:hint="eastAsia" w:ascii="宋体" w:hAnsi="宋体" w:eastAsia="宋体" w:cs="宋体"/>
          <w:bCs/>
          <w:color w:val="auto"/>
          <w:kern w:val="0"/>
          <w:sz w:val="24"/>
          <w:szCs w:val="24"/>
          <w:highlight w:val="none"/>
          <w:lang w:val="en-US" w:eastAsia="zh-CN"/>
        </w:rPr>
        <w:t>：1103803429@qq</w:t>
      </w:r>
      <w:r>
        <w:rPr>
          <w:rFonts w:hint="eastAsia" w:ascii="宋体" w:hAnsi="宋体" w:eastAsia="宋体" w:cs="宋体"/>
          <w:bCs/>
          <w:color w:val="auto"/>
          <w:kern w:val="0"/>
          <w:sz w:val="24"/>
          <w:szCs w:val="24"/>
          <w:highlight w:val="none"/>
        </w:rPr>
        <w:t>.com</w:t>
      </w:r>
      <w:r>
        <w:rPr>
          <w:rFonts w:hint="eastAsia" w:ascii="宋体" w:hAnsi="宋体" w:eastAsia="宋体" w:cs="宋体"/>
          <w:bCs/>
          <w:color w:val="auto"/>
          <w:kern w:val="0"/>
          <w:sz w:val="24"/>
          <w:szCs w:val="24"/>
          <w:highlight w:val="none"/>
          <w:lang w:eastAsia="zh-CN"/>
        </w:rPr>
        <w:t>。</w:t>
      </w:r>
    </w:p>
    <w:p w14:paraId="4C6A156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、拟定支付方式</w:t>
      </w:r>
      <w:r>
        <w:rPr>
          <w:rFonts w:hint="eastAsia" w:ascii="宋体" w:hAnsi="宋体" w:eastAsia="宋体" w:cs="宋体"/>
          <w:color w:val="auto"/>
          <w:kern w:val="2"/>
          <w:sz w:val="24"/>
          <w:szCs w:val="24"/>
        </w:rPr>
        <w:t>及期限：</w:t>
      </w:r>
      <w:r>
        <w:rPr>
          <w:rFonts w:hint="eastAsia" w:ascii="宋体" w:hAnsi="宋体" w:eastAsia="宋体" w:cs="宋体"/>
          <w:color w:val="000000"/>
          <w:kern w:val="0"/>
          <w:sz w:val="24"/>
          <w:szCs w:val="24"/>
        </w:rPr>
        <w:t>本项目按单条道路完成情况进行付款。当对应道路的货物全部运送至采购人指定地点，经总包单位完成安装、调试，且通过采购人组织的竣工验收合格后，采购人向供应商支付至该道路对应实际供货金额的95%。剩余5%货款作为质量保证金，待该道路验收合格满2年后（具体质保期限以投标人投标文件中的质保承诺为准），由使用单位出具该批次产品无质量问题的证明材料后，采购人一次性无息付清余款。</w:t>
      </w:r>
    </w:p>
    <w:p w14:paraId="34E0E6D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最终合同结算总价以实际供货数量、中标单价为依据据实调整，采购人不承担暂估工程量与实际供货量差额部分的任何费用。</w:t>
      </w:r>
    </w:p>
    <w:p w14:paraId="230CF8F8">
      <w:pPr>
        <w:pStyle w:val="5"/>
        <w:keepNext w:val="0"/>
        <w:keepLines w:val="0"/>
        <w:pageBreakBefore w:val="0"/>
        <w:widowControl w:val="0"/>
        <w:numPr>
          <w:ilvl w:val="0"/>
          <w:numId w:val="0"/>
        </w:numPr>
        <w:kinsoku w:val="0"/>
        <w:wordWrap/>
        <w:overflowPunct/>
        <w:topLinePunct/>
        <w:autoSpaceDE w:val="0"/>
        <w:autoSpaceDN w:val="0"/>
        <w:bidi w:val="0"/>
        <w:snapToGrid w:val="0"/>
        <w:spacing w:line="360" w:lineRule="auto"/>
        <w:ind w:right="210" w:rightChars="0" w:firstLine="480" w:firstLineChars="200"/>
        <w:contextualSpacing/>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报价费用说明：</w:t>
      </w:r>
      <w:r>
        <w:rPr>
          <w:rFonts w:hint="eastAsia" w:ascii="宋体" w:hAnsi="宋体" w:eastAsia="宋体" w:cs="宋体"/>
          <w:sz w:val="24"/>
          <w:szCs w:val="24"/>
          <w:highlight w:val="none"/>
          <w:lang w:eastAsia="zh-CN"/>
        </w:rPr>
        <w:t>投标报价包含货物的生产供应、辅配件费、包装费、运输费、运输损耗、装卸费、机械进退场费、交通工具及使用费、成品保护费等完成本项目所包含的所有费用。</w:t>
      </w:r>
    </w:p>
    <w:p w14:paraId="378E11D9">
      <w:pPr>
        <w:pStyle w:val="5"/>
        <w:keepNext w:val="0"/>
        <w:keepLines w:val="0"/>
        <w:pageBreakBefore w:val="0"/>
        <w:widowControl w:val="0"/>
        <w:numPr>
          <w:ilvl w:val="0"/>
          <w:numId w:val="0"/>
        </w:numPr>
        <w:kinsoku w:val="0"/>
        <w:wordWrap/>
        <w:overflowPunct/>
        <w:topLinePunct/>
        <w:autoSpaceDE w:val="0"/>
        <w:autoSpaceDN w:val="0"/>
        <w:bidi w:val="0"/>
        <w:snapToGrid w:val="0"/>
        <w:spacing w:line="360" w:lineRule="auto"/>
        <w:ind w:leftChars="200" w:right="210" w:rightChars="0"/>
        <w:contextualSpacing/>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4、</w:t>
      </w:r>
      <w:r>
        <w:rPr>
          <w:rFonts w:hint="eastAsia" w:ascii="宋体" w:hAnsi="宋体" w:eastAsia="宋体" w:cs="宋体"/>
          <w:bCs/>
          <w:color w:val="auto"/>
          <w:kern w:val="0"/>
          <w:sz w:val="24"/>
          <w:szCs w:val="24"/>
        </w:rPr>
        <w:t>所有报价单均需加盖报价单位公章。</w:t>
      </w:r>
    </w:p>
    <w:p w14:paraId="2BB5522A">
      <w:pPr>
        <w:keepNext w:val="0"/>
        <w:keepLines w:val="0"/>
        <w:pageBreakBefore w:val="0"/>
        <w:widowControl w:val="0"/>
        <w:wordWrap/>
        <w:overflowPunct/>
        <w:bidi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、其他：（1）请报价单位认真核算、如实报价，如发现虚假报价的记入黑名单；（2）本次报价仅作为市场调研用，因此价格仅供参考；（3）本次调研询价不接收质疑函，只接收对本项目的建议。</w:t>
      </w:r>
    </w:p>
    <w:p w14:paraId="41EAF034">
      <w:pPr>
        <w:keepNext w:val="0"/>
        <w:keepLines w:val="0"/>
        <w:pageBreakBefore w:val="0"/>
        <w:wordWrap/>
        <w:overflowPunct/>
        <w:bidi w:val="0"/>
        <w:spacing w:line="312" w:lineRule="auto"/>
        <w:ind w:firstLine="6240" w:firstLineChars="2600"/>
        <w:rPr>
          <w:rFonts w:hint="eastAsia" w:ascii="宋体" w:hAnsi="宋体" w:eastAsia="宋体" w:cs="宋体"/>
          <w:b w:val="0"/>
          <w:bCs w:val="0"/>
          <w:color w:val="000000"/>
          <w:kern w:val="0"/>
          <w:sz w:val="24"/>
          <w:szCs w:val="24"/>
          <w:lang w:eastAsia="zh-CN" w:bidi="ar"/>
        </w:rPr>
      </w:pPr>
    </w:p>
    <w:p w14:paraId="02A3B781">
      <w:pPr>
        <w:keepNext w:val="0"/>
        <w:keepLines w:val="0"/>
        <w:pageBreakBefore w:val="0"/>
        <w:wordWrap/>
        <w:overflowPunct/>
        <w:bidi w:val="0"/>
        <w:spacing w:line="312" w:lineRule="auto"/>
        <w:ind w:firstLine="6000" w:firstLineChars="2500"/>
        <w:rPr>
          <w:rFonts w:hint="eastAsia" w:ascii="宋体" w:hAnsi="宋体" w:eastAsia="宋体" w:cs="宋体"/>
          <w:b w:val="0"/>
          <w:bCs w:val="0"/>
          <w:color w:val="000000"/>
          <w:kern w:val="0"/>
          <w:sz w:val="24"/>
          <w:szCs w:val="24"/>
          <w:lang w:eastAsia="zh-CN" w:bidi="ar"/>
        </w:rPr>
      </w:pPr>
      <w:r>
        <w:rPr>
          <w:rFonts w:hint="eastAsia" w:ascii="宋体" w:hAnsi="宋体" w:eastAsia="宋体" w:cs="宋体"/>
          <w:b w:val="0"/>
          <w:bCs w:val="0"/>
          <w:color w:val="000000"/>
          <w:kern w:val="0"/>
          <w:sz w:val="24"/>
          <w:szCs w:val="24"/>
          <w:lang w:eastAsia="zh-CN" w:bidi="ar"/>
        </w:rPr>
        <w:t>启东翼信供应链有限公司</w:t>
      </w:r>
    </w:p>
    <w:p w14:paraId="005955B2">
      <w:pPr>
        <w:keepNext w:val="0"/>
        <w:keepLines w:val="0"/>
        <w:pageBreakBefore w:val="0"/>
        <w:wordWrap/>
        <w:overflowPunct/>
        <w:bidi w:val="0"/>
        <w:spacing w:line="312" w:lineRule="auto"/>
        <w:ind w:firstLine="6720" w:firstLineChars="2800"/>
        <w:rPr>
          <w:rFonts w:hint="eastAsia" w:ascii="宋体" w:hAnsi="宋体" w:eastAsia="宋体" w:cs="宋体"/>
          <w:b w:val="0"/>
          <w:bCs w:val="0"/>
          <w:color w:val="000000"/>
          <w:kern w:val="0"/>
          <w:sz w:val="24"/>
          <w:szCs w:val="24"/>
          <w:lang w:bidi="ar"/>
        </w:rPr>
      </w:pPr>
      <w:r>
        <w:rPr>
          <w:rFonts w:hint="eastAsia" w:ascii="宋体" w:hAnsi="宋体" w:eastAsia="宋体" w:cs="宋体"/>
          <w:b w:val="0"/>
          <w:bCs w:val="0"/>
          <w:color w:val="000000"/>
          <w:kern w:val="0"/>
          <w:sz w:val="24"/>
          <w:szCs w:val="24"/>
          <w:lang w:val="en-US" w:eastAsia="zh-CN" w:bidi="ar"/>
        </w:rPr>
        <w:t>2026年3月31日</w:t>
      </w:r>
      <w:r>
        <w:rPr>
          <w:rFonts w:hint="eastAsia" w:ascii="宋体" w:hAnsi="宋体" w:eastAsia="宋体" w:cs="宋体"/>
          <w:b w:val="0"/>
          <w:bCs w:val="0"/>
          <w:color w:val="000000"/>
          <w:kern w:val="0"/>
          <w:sz w:val="24"/>
          <w:szCs w:val="24"/>
          <w:lang w:bidi="ar"/>
        </w:rPr>
        <w:t>　　</w:t>
      </w:r>
    </w:p>
    <w:p w14:paraId="1B922A68">
      <w:pPr>
        <w:pStyle w:val="2"/>
        <w:rPr>
          <w:rFonts w:hint="eastAsia" w:ascii="宋体" w:hAnsi="宋体" w:eastAsia="宋体" w:cs="宋体"/>
          <w:b w:val="0"/>
          <w:bCs w:val="0"/>
          <w:color w:val="000000"/>
          <w:kern w:val="0"/>
          <w:sz w:val="24"/>
          <w:szCs w:val="24"/>
          <w:lang w:bidi="ar"/>
        </w:rPr>
      </w:pPr>
    </w:p>
    <w:p w14:paraId="2551C3C9">
      <w:pPr>
        <w:rPr>
          <w:rFonts w:hint="eastAsia" w:ascii="宋体" w:hAnsi="宋体" w:eastAsia="宋体" w:cs="宋体"/>
          <w:b w:val="0"/>
          <w:bCs w:val="0"/>
          <w:color w:val="000000"/>
          <w:kern w:val="0"/>
          <w:sz w:val="24"/>
          <w:szCs w:val="24"/>
          <w:lang w:bidi="ar"/>
        </w:rPr>
      </w:pPr>
    </w:p>
    <w:p w14:paraId="54F8480C">
      <w:pPr>
        <w:rPr>
          <w:rFonts w:hint="eastAsia" w:ascii="宋体" w:hAnsi="宋体" w:eastAsia="宋体" w:cs="宋体"/>
          <w:b w:val="0"/>
          <w:bCs w:val="0"/>
          <w:color w:val="000000"/>
          <w:kern w:val="0"/>
          <w:sz w:val="24"/>
          <w:szCs w:val="24"/>
          <w:lang w:bidi="ar"/>
        </w:rPr>
      </w:pPr>
    </w:p>
    <w:p w14:paraId="13497360">
      <w:pPr>
        <w:pStyle w:val="2"/>
        <w:rPr>
          <w:rFonts w:hint="eastAsia" w:ascii="宋体" w:hAnsi="宋体" w:eastAsia="宋体" w:cs="宋体"/>
          <w:b w:val="0"/>
          <w:bCs w:val="0"/>
          <w:color w:val="000000"/>
          <w:kern w:val="0"/>
          <w:sz w:val="24"/>
          <w:szCs w:val="24"/>
          <w:lang w:bidi="ar"/>
        </w:rPr>
      </w:pPr>
    </w:p>
    <w:p w14:paraId="3B8FE038">
      <w:pPr>
        <w:rPr>
          <w:rFonts w:hint="eastAsia" w:ascii="宋体" w:hAnsi="宋体" w:eastAsia="宋体" w:cs="宋体"/>
          <w:b w:val="0"/>
          <w:bCs w:val="0"/>
          <w:color w:val="000000"/>
          <w:kern w:val="0"/>
          <w:sz w:val="24"/>
          <w:szCs w:val="24"/>
          <w:lang w:bidi="ar"/>
        </w:rPr>
      </w:pPr>
    </w:p>
    <w:p w14:paraId="66CB9C52">
      <w:pPr>
        <w:pStyle w:val="2"/>
        <w:rPr>
          <w:rFonts w:hint="eastAsia" w:ascii="宋体" w:hAnsi="宋体" w:eastAsia="宋体" w:cs="宋体"/>
          <w:b w:val="0"/>
          <w:bCs w:val="0"/>
          <w:color w:val="000000"/>
          <w:kern w:val="0"/>
          <w:sz w:val="24"/>
          <w:szCs w:val="24"/>
          <w:lang w:bidi="ar"/>
        </w:rPr>
      </w:pPr>
    </w:p>
    <w:p w14:paraId="2A1EFC31">
      <w:pPr>
        <w:rPr>
          <w:rFonts w:hint="eastAsia" w:ascii="宋体" w:hAnsi="宋体" w:eastAsia="宋体" w:cs="宋体"/>
          <w:b w:val="0"/>
          <w:bCs w:val="0"/>
          <w:color w:val="000000"/>
          <w:kern w:val="0"/>
          <w:sz w:val="24"/>
          <w:szCs w:val="24"/>
          <w:lang w:bidi="ar"/>
        </w:rPr>
      </w:pPr>
    </w:p>
    <w:p w14:paraId="0B2664A1">
      <w:pPr>
        <w:pStyle w:val="2"/>
        <w:rPr>
          <w:rFonts w:hint="eastAsia" w:ascii="宋体" w:hAnsi="宋体" w:eastAsia="宋体" w:cs="宋体"/>
          <w:b w:val="0"/>
          <w:bCs w:val="0"/>
          <w:color w:val="000000"/>
          <w:kern w:val="0"/>
          <w:sz w:val="24"/>
          <w:szCs w:val="24"/>
          <w:lang w:bidi="ar"/>
        </w:rPr>
      </w:pPr>
    </w:p>
    <w:p w14:paraId="1C0BDCBB">
      <w:pPr>
        <w:rPr>
          <w:rFonts w:hint="eastAsia" w:ascii="宋体" w:hAnsi="宋体" w:eastAsia="宋体" w:cs="宋体"/>
          <w:b w:val="0"/>
          <w:bCs w:val="0"/>
          <w:color w:val="000000"/>
          <w:kern w:val="0"/>
          <w:sz w:val="24"/>
          <w:szCs w:val="24"/>
          <w:lang w:bidi="ar"/>
        </w:rPr>
      </w:pPr>
    </w:p>
    <w:p w14:paraId="3701BF2C">
      <w:pPr>
        <w:ind w:firstLine="562" w:firstLineChars="200"/>
        <w:rPr>
          <w:rFonts w:hint="eastAsia" w:ascii="宋体" w:hAnsi="宋体" w:eastAsia="宋体" w:cs="宋体"/>
          <w:b w:val="0"/>
          <w:bCs w:val="0"/>
          <w:color w:val="000000"/>
          <w:kern w:val="0"/>
          <w:sz w:val="24"/>
          <w:szCs w:val="24"/>
          <w:lang w:val="en-US" w:eastAsia="zh-CN" w:bidi="ar"/>
        </w:rPr>
      </w:pPr>
      <w:r>
        <w:rPr>
          <w:rFonts w:hint="eastAsia" w:ascii="宋体" w:hAnsi="宋体" w:eastAsia="宋体"/>
          <w:b/>
          <w:sz w:val="28"/>
          <w:szCs w:val="28"/>
          <w:lang w:eastAsia="zh-CN"/>
        </w:rPr>
        <w:t>启东经济开发区新建、改造道路城市家具采购项目报价单</w:t>
      </w:r>
    </w:p>
    <w:p w14:paraId="48993AB4">
      <w:pPr>
        <w:pStyle w:val="2"/>
        <w:rPr>
          <w:rFonts w:hint="eastAsia" w:ascii="宋体" w:hAnsi="宋体" w:eastAsia="宋体" w:cs="宋体"/>
          <w:b w:val="0"/>
          <w:bCs w:val="0"/>
          <w:color w:val="000000"/>
          <w:kern w:val="0"/>
          <w:sz w:val="24"/>
          <w:szCs w:val="24"/>
          <w:lang w:bidi="ar"/>
        </w:rPr>
      </w:pPr>
    </w:p>
    <w:tbl>
      <w:tblPr>
        <w:tblStyle w:val="9"/>
        <w:tblW w:w="10418" w:type="dxa"/>
        <w:tblInd w:w="-366" w:type="dxa"/>
        <w:tblLayout w:type="fixed"/>
        <w:tblCellMar>
          <w:top w:w="0" w:type="dxa"/>
          <w:left w:w="108" w:type="dxa"/>
          <w:bottom w:w="0" w:type="dxa"/>
          <w:right w:w="108" w:type="dxa"/>
        </w:tblCellMar>
      </w:tblPr>
      <w:tblGrid>
        <w:gridCol w:w="735"/>
        <w:gridCol w:w="1170"/>
        <w:gridCol w:w="4088"/>
        <w:gridCol w:w="855"/>
        <w:gridCol w:w="1245"/>
        <w:gridCol w:w="1215"/>
        <w:gridCol w:w="1110"/>
      </w:tblGrid>
      <w:tr w14:paraId="5818A063">
        <w:tblPrEx>
          <w:tblCellMar>
            <w:top w:w="0" w:type="dxa"/>
            <w:left w:w="108" w:type="dxa"/>
            <w:bottom w:w="0" w:type="dxa"/>
            <w:right w:w="108" w:type="dxa"/>
          </w:tblCellMar>
        </w:tblPrEx>
        <w:trPr>
          <w:trHeight w:val="557"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14:paraId="20BBD3A3">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rPr>
              <w:t>序号</w:t>
            </w:r>
          </w:p>
        </w:tc>
        <w:tc>
          <w:tcPr>
            <w:tcW w:w="1170" w:type="dxa"/>
            <w:tcBorders>
              <w:top w:val="single" w:color="000000" w:sz="4" w:space="0"/>
              <w:left w:val="single" w:color="000000" w:sz="4" w:space="0"/>
              <w:bottom w:val="single" w:color="000000" w:sz="4" w:space="0"/>
              <w:right w:val="single" w:color="000000" w:sz="4" w:space="0"/>
            </w:tcBorders>
            <w:vAlign w:val="center"/>
          </w:tcPr>
          <w:p w14:paraId="4B707892">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rPr>
              <w:t>名称</w:t>
            </w:r>
          </w:p>
        </w:tc>
        <w:tc>
          <w:tcPr>
            <w:tcW w:w="4088" w:type="dxa"/>
            <w:tcBorders>
              <w:top w:val="single" w:color="000000" w:sz="4" w:space="0"/>
              <w:left w:val="single" w:color="000000" w:sz="4" w:space="0"/>
              <w:bottom w:val="single" w:color="000000" w:sz="4" w:space="0"/>
              <w:right w:val="single" w:color="000000" w:sz="4" w:space="0"/>
            </w:tcBorders>
            <w:noWrap/>
            <w:vAlign w:val="center"/>
          </w:tcPr>
          <w:p w14:paraId="3EF6A2E7">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rPr>
              <w:t>规格参数</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12B01C6C">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rPr>
              <w:t>单位</w:t>
            </w:r>
          </w:p>
        </w:tc>
        <w:tc>
          <w:tcPr>
            <w:tcW w:w="1245" w:type="dxa"/>
            <w:tcBorders>
              <w:top w:val="single" w:color="000000" w:sz="4" w:space="0"/>
              <w:left w:val="single" w:color="000000" w:sz="4" w:space="0"/>
              <w:bottom w:val="single" w:color="000000" w:sz="4" w:space="0"/>
              <w:right w:val="single" w:color="000000" w:sz="4" w:space="0"/>
            </w:tcBorders>
            <w:noWrap/>
            <w:vAlign w:val="center"/>
          </w:tcPr>
          <w:p w14:paraId="0CCC6F71">
            <w:pPr>
              <w:widowControl/>
              <w:jc w:val="center"/>
              <w:textAlignment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合计</w:t>
            </w:r>
          </w:p>
        </w:tc>
        <w:tc>
          <w:tcPr>
            <w:tcW w:w="1215" w:type="dxa"/>
            <w:tcBorders>
              <w:top w:val="single" w:color="000000" w:sz="4" w:space="0"/>
              <w:left w:val="single" w:color="000000" w:sz="4" w:space="0"/>
              <w:bottom w:val="single" w:color="000000" w:sz="4" w:space="0"/>
              <w:right w:val="single" w:color="000000" w:sz="4" w:space="0"/>
            </w:tcBorders>
            <w:noWrap/>
            <w:vAlign w:val="center"/>
          </w:tcPr>
          <w:p w14:paraId="553E854C">
            <w:pPr>
              <w:widowControl/>
              <w:jc w:val="center"/>
              <w:textAlignment w:val="center"/>
              <w:rPr>
                <w:rFonts w:hint="default" w:ascii="宋体" w:hAnsi="宋体" w:eastAsia="宋体" w:cs="宋体"/>
                <w:b/>
                <w:bCs/>
                <w:color w:val="000000"/>
                <w:kern w:val="0"/>
                <w:sz w:val="18"/>
                <w:szCs w:val="18"/>
                <w:lang w:val="en-US" w:eastAsia="zh-CN"/>
              </w:rPr>
            </w:pPr>
            <w:r>
              <w:rPr>
                <w:rFonts w:hint="eastAsia" w:ascii="宋体" w:hAnsi="宋体" w:eastAsia="宋体" w:cs="宋体"/>
                <w:b/>
                <w:bCs/>
                <w:color w:val="000000"/>
                <w:kern w:val="0"/>
                <w:sz w:val="18"/>
                <w:szCs w:val="18"/>
                <w:lang w:eastAsia="zh-CN"/>
              </w:rPr>
              <w:t>单价</w:t>
            </w:r>
            <w:r>
              <w:rPr>
                <w:rFonts w:hint="eastAsia" w:ascii="宋体" w:hAnsi="宋体" w:eastAsia="宋体" w:cs="宋体"/>
                <w:b/>
                <w:bCs/>
                <w:color w:val="000000"/>
                <w:kern w:val="0"/>
                <w:sz w:val="18"/>
                <w:szCs w:val="18"/>
                <w:lang w:val="en-US" w:eastAsia="zh-CN"/>
              </w:rPr>
              <w:t>/元</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0CF6D12">
            <w:pPr>
              <w:widowControl/>
              <w:jc w:val="center"/>
              <w:textAlignment w:val="center"/>
              <w:rPr>
                <w:rFonts w:hint="default" w:ascii="宋体" w:hAnsi="宋体" w:eastAsia="宋体" w:cs="宋体"/>
                <w:b/>
                <w:bCs/>
                <w:color w:val="000000"/>
                <w:kern w:val="0"/>
                <w:sz w:val="18"/>
                <w:szCs w:val="18"/>
                <w:lang w:val="en-US" w:eastAsia="zh-CN"/>
              </w:rPr>
            </w:pPr>
            <w:r>
              <w:rPr>
                <w:rFonts w:hint="eastAsia" w:ascii="宋体" w:hAnsi="宋体" w:eastAsia="宋体" w:cs="宋体"/>
                <w:b/>
                <w:bCs/>
                <w:color w:val="000000"/>
                <w:kern w:val="0"/>
                <w:sz w:val="18"/>
                <w:szCs w:val="18"/>
                <w:lang w:eastAsia="zh-CN"/>
              </w:rPr>
              <w:t>总价</w:t>
            </w:r>
            <w:r>
              <w:rPr>
                <w:rFonts w:hint="eastAsia" w:ascii="宋体" w:hAnsi="宋体" w:eastAsia="宋体" w:cs="宋体"/>
                <w:b/>
                <w:bCs/>
                <w:color w:val="000000"/>
                <w:kern w:val="0"/>
                <w:sz w:val="18"/>
                <w:szCs w:val="18"/>
                <w:lang w:val="en-US" w:eastAsia="zh-CN"/>
              </w:rPr>
              <w:t>/元</w:t>
            </w:r>
          </w:p>
        </w:tc>
      </w:tr>
      <w:tr w14:paraId="2F8AE14C">
        <w:tblPrEx>
          <w:tblCellMar>
            <w:top w:w="0" w:type="dxa"/>
            <w:left w:w="108" w:type="dxa"/>
            <w:bottom w:w="0" w:type="dxa"/>
            <w:right w:w="108" w:type="dxa"/>
          </w:tblCellMar>
        </w:tblPrEx>
        <w:trPr>
          <w:trHeight w:val="557"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14:paraId="7FFB5424">
            <w:pPr>
              <w:widowControl/>
              <w:jc w:val="center"/>
              <w:textAlignment w:val="center"/>
              <w:rPr>
                <w:rFonts w:hint="eastAsia" w:ascii="宋体" w:hAnsi="宋体" w:eastAsia="宋体" w:cs="宋体"/>
                <w:b/>
                <w:bCs/>
                <w:color w:val="000000"/>
                <w:kern w:val="0"/>
                <w:sz w:val="18"/>
                <w:szCs w:val="18"/>
              </w:rPr>
            </w:pPr>
          </w:p>
        </w:tc>
        <w:tc>
          <w:tcPr>
            <w:tcW w:w="1170" w:type="dxa"/>
            <w:tcBorders>
              <w:top w:val="single" w:color="000000" w:sz="4" w:space="0"/>
              <w:left w:val="single" w:color="000000" w:sz="4" w:space="0"/>
              <w:bottom w:val="single" w:color="000000" w:sz="4" w:space="0"/>
              <w:right w:val="single" w:color="000000" w:sz="4" w:space="0"/>
            </w:tcBorders>
            <w:vAlign w:val="center"/>
          </w:tcPr>
          <w:p w14:paraId="01AB2C61">
            <w:pPr>
              <w:widowControl/>
              <w:jc w:val="center"/>
              <w:textAlignment w:val="center"/>
              <w:rPr>
                <w:rFonts w:hint="eastAsia" w:ascii="宋体" w:hAnsi="宋体" w:eastAsia="宋体" w:cs="宋体"/>
                <w:b/>
                <w:bCs/>
                <w:color w:val="000000"/>
                <w:kern w:val="0"/>
                <w:sz w:val="18"/>
                <w:szCs w:val="18"/>
              </w:rPr>
            </w:pPr>
          </w:p>
        </w:tc>
        <w:tc>
          <w:tcPr>
            <w:tcW w:w="4088" w:type="dxa"/>
            <w:tcBorders>
              <w:top w:val="single" w:color="000000" w:sz="4" w:space="0"/>
              <w:left w:val="single" w:color="000000" w:sz="4" w:space="0"/>
              <w:bottom w:val="single" w:color="000000" w:sz="4" w:space="0"/>
              <w:right w:val="single" w:color="000000" w:sz="4" w:space="0"/>
            </w:tcBorders>
            <w:noWrap/>
            <w:vAlign w:val="center"/>
          </w:tcPr>
          <w:p w14:paraId="793C3BBF">
            <w:pPr>
              <w:widowControl/>
              <w:jc w:val="center"/>
              <w:textAlignment w:val="center"/>
              <w:rPr>
                <w:rFonts w:hint="eastAsia" w:ascii="宋体" w:hAnsi="宋体" w:eastAsia="宋体" w:cs="宋体"/>
                <w:b/>
                <w:bCs/>
                <w:color w:val="000000"/>
                <w:kern w:val="0"/>
                <w:sz w:val="18"/>
                <w:szCs w:val="18"/>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2DF1045A">
            <w:pPr>
              <w:widowControl/>
              <w:jc w:val="center"/>
              <w:textAlignment w:val="center"/>
              <w:rPr>
                <w:rFonts w:hint="eastAsia" w:ascii="宋体" w:hAnsi="宋体" w:eastAsia="宋体" w:cs="宋体"/>
                <w:b/>
                <w:bCs/>
                <w:color w:val="000000"/>
                <w:kern w:val="0"/>
                <w:sz w:val="18"/>
                <w:szCs w:val="18"/>
              </w:rPr>
            </w:pPr>
          </w:p>
        </w:tc>
        <w:tc>
          <w:tcPr>
            <w:tcW w:w="1245" w:type="dxa"/>
            <w:tcBorders>
              <w:top w:val="single" w:color="000000" w:sz="4" w:space="0"/>
              <w:left w:val="single" w:color="000000" w:sz="4" w:space="0"/>
              <w:bottom w:val="single" w:color="000000" w:sz="4" w:space="0"/>
              <w:right w:val="single" w:color="000000" w:sz="4" w:space="0"/>
            </w:tcBorders>
            <w:noWrap/>
            <w:vAlign w:val="center"/>
          </w:tcPr>
          <w:p w14:paraId="1258682B">
            <w:pPr>
              <w:widowControl/>
              <w:jc w:val="center"/>
              <w:textAlignment w:val="center"/>
              <w:rPr>
                <w:rFonts w:hint="eastAsia" w:ascii="宋体" w:hAnsi="宋体" w:eastAsia="宋体" w:cs="宋体"/>
                <w:b/>
                <w:bCs/>
                <w:color w:val="000000"/>
                <w:kern w:val="0"/>
                <w:sz w:val="18"/>
                <w:szCs w:val="18"/>
              </w:rPr>
            </w:pPr>
          </w:p>
        </w:tc>
        <w:tc>
          <w:tcPr>
            <w:tcW w:w="1215" w:type="dxa"/>
            <w:tcBorders>
              <w:top w:val="single" w:color="000000" w:sz="4" w:space="0"/>
              <w:left w:val="single" w:color="000000" w:sz="4" w:space="0"/>
              <w:bottom w:val="single" w:color="000000" w:sz="4" w:space="0"/>
              <w:right w:val="single" w:color="000000" w:sz="4" w:space="0"/>
            </w:tcBorders>
            <w:noWrap/>
            <w:vAlign w:val="center"/>
          </w:tcPr>
          <w:p w14:paraId="2626271F">
            <w:pPr>
              <w:widowControl/>
              <w:jc w:val="center"/>
              <w:textAlignment w:val="center"/>
              <w:rPr>
                <w:rFonts w:hint="eastAsia" w:ascii="宋体" w:hAnsi="宋体" w:eastAsia="宋体" w:cs="宋体"/>
                <w:b/>
                <w:bCs/>
                <w:color w:val="000000"/>
                <w:kern w:val="0"/>
                <w:sz w:val="18"/>
                <w:szCs w:val="18"/>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C4EA48C">
            <w:pPr>
              <w:widowControl/>
              <w:jc w:val="center"/>
              <w:textAlignment w:val="center"/>
              <w:rPr>
                <w:rFonts w:hint="eastAsia" w:ascii="宋体" w:hAnsi="宋体" w:eastAsia="宋体" w:cs="宋体"/>
                <w:b/>
                <w:bCs/>
                <w:color w:val="000000"/>
                <w:kern w:val="0"/>
                <w:sz w:val="18"/>
                <w:szCs w:val="18"/>
              </w:rPr>
            </w:pPr>
          </w:p>
        </w:tc>
      </w:tr>
      <w:tr w14:paraId="070097F9">
        <w:tblPrEx>
          <w:tblCellMar>
            <w:top w:w="0" w:type="dxa"/>
            <w:left w:w="108" w:type="dxa"/>
            <w:bottom w:w="0" w:type="dxa"/>
            <w:right w:w="108" w:type="dxa"/>
          </w:tblCellMar>
        </w:tblPrEx>
        <w:trPr>
          <w:trHeight w:val="557"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14:paraId="094BE472">
            <w:pPr>
              <w:widowControl/>
              <w:jc w:val="center"/>
              <w:textAlignment w:val="center"/>
              <w:rPr>
                <w:rFonts w:hint="eastAsia" w:ascii="宋体" w:hAnsi="宋体" w:eastAsia="宋体" w:cs="宋体"/>
                <w:b/>
                <w:bCs/>
                <w:color w:val="000000"/>
                <w:kern w:val="0"/>
                <w:sz w:val="18"/>
                <w:szCs w:val="18"/>
              </w:rPr>
            </w:pPr>
          </w:p>
        </w:tc>
        <w:tc>
          <w:tcPr>
            <w:tcW w:w="1170" w:type="dxa"/>
            <w:tcBorders>
              <w:top w:val="single" w:color="000000" w:sz="4" w:space="0"/>
              <w:left w:val="single" w:color="000000" w:sz="4" w:space="0"/>
              <w:bottom w:val="single" w:color="000000" w:sz="4" w:space="0"/>
              <w:right w:val="single" w:color="000000" w:sz="4" w:space="0"/>
            </w:tcBorders>
            <w:vAlign w:val="center"/>
          </w:tcPr>
          <w:p w14:paraId="508D1A4C">
            <w:pPr>
              <w:widowControl/>
              <w:jc w:val="center"/>
              <w:textAlignment w:val="center"/>
              <w:rPr>
                <w:rFonts w:hint="eastAsia" w:ascii="宋体" w:hAnsi="宋体" w:eastAsia="宋体" w:cs="宋体"/>
                <w:b/>
                <w:bCs/>
                <w:color w:val="000000"/>
                <w:kern w:val="0"/>
                <w:sz w:val="18"/>
                <w:szCs w:val="18"/>
              </w:rPr>
            </w:pPr>
          </w:p>
        </w:tc>
        <w:tc>
          <w:tcPr>
            <w:tcW w:w="4088" w:type="dxa"/>
            <w:tcBorders>
              <w:top w:val="single" w:color="000000" w:sz="4" w:space="0"/>
              <w:left w:val="single" w:color="000000" w:sz="4" w:space="0"/>
              <w:bottom w:val="single" w:color="000000" w:sz="4" w:space="0"/>
              <w:right w:val="single" w:color="000000" w:sz="4" w:space="0"/>
            </w:tcBorders>
            <w:noWrap/>
            <w:vAlign w:val="center"/>
          </w:tcPr>
          <w:p w14:paraId="18B6E0B4">
            <w:pPr>
              <w:widowControl/>
              <w:jc w:val="center"/>
              <w:textAlignment w:val="center"/>
              <w:rPr>
                <w:rFonts w:hint="eastAsia" w:ascii="宋体" w:hAnsi="宋体" w:eastAsia="宋体" w:cs="宋体"/>
                <w:b/>
                <w:bCs/>
                <w:color w:val="000000"/>
                <w:kern w:val="0"/>
                <w:sz w:val="18"/>
                <w:szCs w:val="18"/>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33C56B67">
            <w:pPr>
              <w:widowControl/>
              <w:jc w:val="center"/>
              <w:textAlignment w:val="center"/>
              <w:rPr>
                <w:rFonts w:hint="eastAsia" w:ascii="宋体" w:hAnsi="宋体" w:eastAsia="宋体" w:cs="宋体"/>
                <w:b/>
                <w:bCs/>
                <w:color w:val="000000"/>
                <w:kern w:val="0"/>
                <w:sz w:val="18"/>
                <w:szCs w:val="18"/>
              </w:rPr>
            </w:pPr>
          </w:p>
        </w:tc>
        <w:tc>
          <w:tcPr>
            <w:tcW w:w="1245" w:type="dxa"/>
            <w:tcBorders>
              <w:top w:val="single" w:color="000000" w:sz="4" w:space="0"/>
              <w:left w:val="single" w:color="000000" w:sz="4" w:space="0"/>
              <w:bottom w:val="single" w:color="000000" w:sz="4" w:space="0"/>
              <w:right w:val="single" w:color="000000" w:sz="4" w:space="0"/>
            </w:tcBorders>
            <w:noWrap/>
            <w:vAlign w:val="center"/>
          </w:tcPr>
          <w:p w14:paraId="3F259D0F">
            <w:pPr>
              <w:widowControl/>
              <w:jc w:val="center"/>
              <w:textAlignment w:val="center"/>
              <w:rPr>
                <w:rFonts w:hint="eastAsia" w:ascii="宋体" w:hAnsi="宋体" w:eastAsia="宋体" w:cs="宋体"/>
                <w:b/>
                <w:bCs/>
                <w:color w:val="000000"/>
                <w:kern w:val="0"/>
                <w:sz w:val="18"/>
                <w:szCs w:val="18"/>
              </w:rPr>
            </w:pPr>
          </w:p>
        </w:tc>
        <w:tc>
          <w:tcPr>
            <w:tcW w:w="1215" w:type="dxa"/>
            <w:tcBorders>
              <w:top w:val="single" w:color="000000" w:sz="4" w:space="0"/>
              <w:left w:val="single" w:color="000000" w:sz="4" w:space="0"/>
              <w:bottom w:val="single" w:color="000000" w:sz="4" w:space="0"/>
              <w:right w:val="single" w:color="000000" w:sz="4" w:space="0"/>
            </w:tcBorders>
            <w:noWrap/>
            <w:vAlign w:val="center"/>
          </w:tcPr>
          <w:p w14:paraId="3D8F81A2">
            <w:pPr>
              <w:widowControl/>
              <w:jc w:val="center"/>
              <w:textAlignment w:val="center"/>
              <w:rPr>
                <w:rFonts w:hint="eastAsia" w:ascii="宋体" w:hAnsi="宋体" w:eastAsia="宋体" w:cs="宋体"/>
                <w:b/>
                <w:bCs/>
                <w:color w:val="000000"/>
                <w:kern w:val="0"/>
                <w:sz w:val="18"/>
                <w:szCs w:val="18"/>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2BE498B">
            <w:pPr>
              <w:widowControl/>
              <w:jc w:val="center"/>
              <w:textAlignment w:val="center"/>
              <w:rPr>
                <w:rFonts w:hint="eastAsia" w:ascii="宋体" w:hAnsi="宋体" w:eastAsia="宋体" w:cs="宋体"/>
                <w:b/>
                <w:bCs/>
                <w:color w:val="000000"/>
                <w:kern w:val="0"/>
                <w:sz w:val="18"/>
                <w:szCs w:val="18"/>
              </w:rPr>
            </w:pPr>
          </w:p>
        </w:tc>
      </w:tr>
      <w:tr w14:paraId="457AB35A">
        <w:tblPrEx>
          <w:tblCellMar>
            <w:top w:w="0" w:type="dxa"/>
            <w:left w:w="108" w:type="dxa"/>
            <w:bottom w:w="0" w:type="dxa"/>
            <w:right w:w="108" w:type="dxa"/>
          </w:tblCellMar>
        </w:tblPrEx>
        <w:trPr>
          <w:trHeight w:val="557"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14:paraId="4CBDB5F0">
            <w:pPr>
              <w:widowControl/>
              <w:jc w:val="center"/>
              <w:textAlignment w:val="center"/>
              <w:rPr>
                <w:rFonts w:hint="eastAsia" w:ascii="宋体" w:hAnsi="宋体" w:eastAsia="宋体" w:cs="宋体"/>
                <w:b/>
                <w:bCs/>
                <w:color w:val="000000"/>
                <w:kern w:val="0"/>
                <w:sz w:val="18"/>
                <w:szCs w:val="18"/>
              </w:rPr>
            </w:pPr>
          </w:p>
        </w:tc>
        <w:tc>
          <w:tcPr>
            <w:tcW w:w="1170" w:type="dxa"/>
            <w:tcBorders>
              <w:top w:val="single" w:color="000000" w:sz="4" w:space="0"/>
              <w:left w:val="single" w:color="000000" w:sz="4" w:space="0"/>
              <w:bottom w:val="single" w:color="000000" w:sz="4" w:space="0"/>
              <w:right w:val="single" w:color="000000" w:sz="4" w:space="0"/>
            </w:tcBorders>
            <w:vAlign w:val="center"/>
          </w:tcPr>
          <w:p w14:paraId="2226A4B0">
            <w:pPr>
              <w:widowControl/>
              <w:jc w:val="center"/>
              <w:textAlignment w:val="center"/>
              <w:rPr>
                <w:rFonts w:hint="eastAsia" w:ascii="宋体" w:hAnsi="宋体" w:eastAsia="宋体" w:cs="宋体"/>
                <w:b/>
                <w:bCs/>
                <w:color w:val="000000"/>
                <w:kern w:val="0"/>
                <w:sz w:val="18"/>
                <w:szCs w:val="18"/>
              </w:rPr>
            </w:pPr>
          </w:p>
        </w:tc>
        <w:tc>
          <w:tcPr>
            <w:tcW w:w="4088" w:type="dxa"/>
            <w:tcBorders>
              <w:top w:val="single" w:color="000000" w:sz="4" w:space="0"/>
              <w:left w:val="single" w:color="000000" w:sz="4" w:space="0"/>
              <w:bottom w:val="single" w:color="000000" w:sz="4" w:space="0"/>
              <w:right w:val="single" w:color="000000" w:sz="4" w:space="0"/>
            </w:tcBorders>
            <w:noWrap/>
            <w:vAlign w:val="center"/>
          </w:tcPr>
          <w:p w14:paraId="00BB97E9">
            <w:pPr>
              <w:widowControl/>
              <w:jc w:val="center"/>
              <w:textAlignment w:val="center"/>
              <w:rPr>
                <w:rFonts w:hint="eastAsia" w:ascii="宋体" w:hAnsi="宋体" w:eastAsia="宋体" w:cs="宋体"/>
                <w:b/>
                <w:bCs/>
                <w:color w:val="000000"/>
                <w:kern w:val="0"/>
                <w:sz w:val="18"/>
                <w:szCs w:val="18"/>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0450D6F0">
            <w:pPr>
              <w:widowControl/>
              <w:jc w:val="center"/>
              <w:textAlignment w:val="center"/>
              <w:rPr>
                <w:rFonts w:hint="eastAsia" w:ascii="宋体" w:hAnsi="宋体" w:eastAsia="宋体" w:cs="宋体"/>
                <w:b/>
                <w:bCs/>
                <w:color w:val="000000"/>
                <w:kern w:val="0"/>
                <w:sz w:val="18"/>
                <w:szCs w:val="18"/>
              </w:rPr>
            </w:pPr>
          </w:p>
        </w:tc>
        <w:tc>
          <w:tcPr>
            <w:tcW w:w="1245" w:type="dxa"/>
            <w:tcBorders>
              <w:top w:val="single" w:color="000000" w:sz="4" w:space="0"/>
              <w:left w:val="single" w:color="000000" w:sz="4" w:space="0"/>
              <w:bottom w:val="single" w:color="000000" w:sz="4" w:space="0"/>
              <w:right w:val="single" w:color="000000" w:sz="4" w:space="0"/>
            </w:tcBorders>
            <w:noWrap/>
            <w:vAlign w:val="center"/>
          </w:tcPr>
          <w:p w14:paraId="319AD78A">
            <w:pPr>
              <w:widowControl/>
              <w:jc w:val="center"/>
              <w:textAlignment w:val="center"/>
              <w:rPr>
                <w:rFonts w:hint="eastAsia" w:ascii="宋体" w:hAnsi="宋体" w:eastAsia="宋体" w:cs="宋体"/>
                <w:b/>
                <w:bCs/>
                <w:color w:val="000000"/>
                <w:kern w:val="0"/>
                <w:sz w:val="18"/>
                <w:szCs w:val="18"/>
              </w:rPr>
            </w:pPr>
          </w:p>
        </w:tc>
        <w:tc>
          <w:tcPr>
            <w:tcW w:w="1215" w:type="dxa"/>
            <w:tcBorders>
              <w:top w:val="single" w:color="000000" w:sz="4" w:space="0"/>
              <w:left w:val="single" w:color="000000" w:sz="4" w:space="0"/>
              <w:bottom w:val="single" w:color="000000" w:sz="4" w:space="0"/>
              <w:right w:val="single" w:color="000000" w:sz="4" w:space="0"/>
            </w:tcBorders>
            <w:noWrap/>
            <w:vAlign w:val="center"/>
          </w:tcPr>
          <w:p w14:paraId="766E5BC0">
            <w:pPr>
              <w:widowControl/>
              <w:jc w:val="center"/>
              <w:textAlignment w:val="center"/>
              <w:rPr>
                <w:rFonts w:hint="eastAsia" w:ascii="宋体" w:hAnsi="宋体" w:eastAsia="宋体" w:cs="宋体"/>
                <w:b/>
                <w:bCs/>
                <w:color w:val="000000"/>
                <w:kern w:val="0"/>
                <w:sz w:val="18"/>
                <w:szCs w:val="18"/>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91A7522">
            <w:pPr>
              <w:widowControl/>
              <w:jc w:val="center"/>
              <w:textAlignment w:val="center"/>
              <w:rPr>
                <w:rFonts w:hint="eastAsia" w:ascii="宋体" w:hAnsi="宋体" w:eastAsia="宋体" w:cs="宋体"/>
                <w:b/>
                <w:bCs/>
                <w:color w:val="000000"/>
                <w:kern w:val="0"/>
                <w:sz w:val="18"/>
                <w:szCs w:val="18"/>
              </w:rPr>
            </w:pPr>
          </w:p>
        </w:tc>
      </w:tr>
      <w:tr w14:paraId="7911C840">
        <w:tblPrEx>
          <w:tblCellMar>
            <w:top w:w="0" w:type="dxa"/>
            <w:left w:w="108" w:type="dxa"/>
            <w:bottom w:w="0" w:type="dxa"/>
            <w:right w:w="108" w:type="dxa"/>
          </w:tblCellMar>
        </w:tblPrEx>
        <w:trPr>
          <w:trHeight w:val="557"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14:paraId="496AA6C4">
            <w:pPr>
              <w:widowControl/>
              <w:jc w:val="center"/>
              <w:textAlignment w:val="center"/>
              <w:rPr>
                <w:rFonts w:hint="eastAsia" w:ascii="宋体" w:hAnsi="宋体" w:eastAsia="宋体" w:cs="宋体"/>
                <w:b/>
                <w:bCs/>
                <w:color w:val="000000"/>
                <w:kern w:val="0"/>
                <w:sz w:val="18"/>
                <w:szCs w:val="18"/>
              </w:rPr>
            </w:pPr>
          </w:p>
        </w:tc>
        <w:tc>
          <w:tcPr>
            <w:tcW w:w="1170" w:type="dxa"/>
            <w:tcBorders>
              <w:top w:val="single" w:color="000000" w:sz="4" w:space="0"/>
              <w:left w:val="single" w:color="000000" w:sz="4" w:space="0"/>
              <w:bottom w:val="single" w:color="000000" w:sz="4" w:space="0"/>
              <w:right w:val="single" w:color="000000" w:sz="4" w:space="0"/>
            </w:tcBorders>
            <w:vAlign w:val="center"/>
          </w:tcPr>
          <w:p w14:paraId="2FEA9962">
            <w:pPr>
              <w:widowControl/>
              <w:jc w:val="center"/>
              <w:textAlignment w:val="center"/>
              <w:rPr>
                <w:rFonts w:hint="eastAsia" w:ascii="宋体" w:hAnsi="宋体" w:eastAsia="宋体" w:cs="宋体"/>
                <w:b/>
                <w:bCs/>
                <w:color w:val="000000"/>
                <w:kern w:val="0"/>
                <w:sz w:val="18"/>
                <w:szCs w:val="18"/>
              </w:rPr>
            </w:pPr>
          </w:p>
        </w:tc>
        <w:tc>
          <w:tcPr>
            <w:tcW w:w="4088" w:type="dxa"/>
            <w:tcBorders>
              <w:top w:val="single" w:color="000000" w:sz="4" w:space="0"/>
              <w:left w:val="single" w:color="000000" w:sz="4" w:space="0"/>
              <w:bottom w:val="single" w:color="000000" w:sz="4" w:space="0"/>
              <w:right w:val="single" w:color="000000" w:sz="4" w:space="0"/>
            </w:tcBorders>
            <w:noWrap/>
            <w:vAlign w:val="center"/>
          </w:tcPr>
          <w:p w14:paraId="28ED9F20">
            <w:pPr>
              <w:widowControl/>
              <w:jc w:val="center"/>
              <w:textAlignment w:val="center"/>
              <w:rPr>
                <w:rFonts w:hint="eastAsia" w:ascii="宋体" w:hAnsi="宋体" w:eastAsia="宋体" w:cs="宋体"/>
                <w:b/>
                <w:bCs/>
                <w:color w:val="000000"/>
                <w:kern w:val="0"/>
                <w:sz w:val="18"/>
                <w:szCs w:val="18"/>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1D31B3CF">
            <w:pPr>
              <w:widowControl/>
              <w:jc w:val="center"/>
              <w:textAlignment w:val="center"/>
              <w:rPr>
                <w:rFonts w:hint="eastAsia" w:ascii="宋体" w:hAnsi="宋体" w:eastAsia="宋体" w:cs="宋体"/>
                <w:b/>
                <w:bCs/>
                <w:color w:val="000000"/>
                <w:kern w:val="0"/>
                <w:sz w:val="18"/>
                <w:szCs w:val="18"/>
              </w:rPr>
            </w:pPr>
          </w:p>
        </w:tc>
        <w:tc>
          <w:tcPr>
            <w:tcW w:w="1245" w:type="dxa"/>
            <w:tcBorders>
              <w:top w:val="single" w:color="000000" w:sz="4" w:space="0"/>
              <w:left w:val="single" w:color="000000" w:sz="4" w:space="0"/>
              <w:bottom w:val="single" w:color="000000" w:sz="4" w:space="0"/>
              <w:right w:val="single" w:color="000000" w:sz="4" w:space="0"/>
            </w:tcBorders>
            <w:noWrap/>
            <w:vAlign w:val="center"/>
          </w:tcPr>
          <w:p w14:paraId="6A95B422">
            <w:pPr>
              <w:widowControl/>
              <w:jc w:val="center"/>
              <w:textAlignment w:val="center"/>
              <w:rPr>
                <w:rFonts w:hint="eastAsia" w:ascii="宋体" w:hAnsi="宋体" w:eastAsia="宋体" w:cs="宋体"/>
                <w:b/>
                <w:bCs/>
                <w:color w:val="000000"/>
                <w:kern w:val="0"/>
                <w:sz w:val="18"/>
                <w:szCs w:val="18"/>
              </w:rPr>
            </w:pPr>
          </w:p>
        </w:tc>
        <w:tc>
          <w:tcPr>
            <w:tcW w:w="1215" w:type="dxa"/>
            <w:tcBorders>
              <w:top w:val="single" w:color="000000" w:sz="4" w:space="0"/>
              <w:left w:val="single" w:color="000000" w:sz="4" w:space="0"/>
              <w:bottom w:val="single" w:color="000000" w:sz="4" w:space="0"/>
              <w:right w:val="single" w:color="000000" w:sz="4" w:space="0"/>
            </w:tcBorders>
            <w:noWrap/>
            <w:vAlign w:val="center"/>
          </w:tcPr>
          <w:p w14:paraId="088DBEA9">
            <w:pPr>
              <w:widowControl/>
              <w:jc w:val="center"/>
              <w:textAlignment w:val="center"/>
              <w:rPr>
                <w:rFonts w:hint="eastAsia" w:ascii="宋体" w:hAnsi="宋体" w:eastAsia="宋体" w:cs="宋体"/>
                <w:b/>
                <w:bCs/>
                <w:color w:val="000000"/>
                <w:kern w:val="0"/>
                <w:sz w:val="18"/>
                <w:szCs w:val="18"/>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0532A8B">
            <w:pPr>
              <w:widowControl/>
              <w:jc w:val="center"/>
              <w:textAlignment w:val="center"/>
              <w:rPr>
                <w:rFonts w:hint="eastAsia" w:ascii="宋体" w:hAnsi="宋体" w:eastAsia="宋体" w:cs="宋体"/>
                <w:b/>
                <w:bCs/>
                <w:color w:val="000000"/>
                <w:kern w:val="0"/>
                <w:sz w:val="18"/>
                <w:szCs w:val="18"/>
              </w:rPr>
            </w:pPr>
          </w:p>
        </w:tc>
      </w:tr>
      <w:tr w14:paraId="6017D133">
        <w:tblPrEx>
          <w:tblCellMar>
            <w:top w:w="0" w:type="dxa"/>
            <w:left w:w="108" w:type="dxa"/>
            <w:bottom w:w="0" w:type="dxa"/>
            <w:right w:w="108" w:type="dxa"/>
          </w:tblCellMar>
        </w:tblPrEx>
        <w:trPr>
          <w:trHeight w:val="557"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14:paraId="2C50D6CA">
            <w:pPr>
              <w:widowControl/>
              <w:jc w:val="center"/>
              <w:textAlignment w:val="center"/>
              <w:rPr>
                <w:rFonts w:hint="eastAsia" w:ascii="宋体" w:hAnsi="宋体" w:eastAsia="宋体" w:cs="宋体"/>
                <w:b/>
                <w:bCs/>
                <w:color w:val="000000"/>
                <w:kern w:val="0"/>
                <w:sz w:val="18"/>
                <w:szCs w:val="18"/>
              </w:rPr>
            </w:pPr>
          </w:p>
        </w:tc>
        <w:tc>
          <w:tcPr>
            <w:tcW w:w="1170" w:type="dxa"/>
            <w:tcBorders>
              <w:top w:val="single" w:color="000000" w:sz="4" w:space="0"/>
              <w:left w:val="single" w:color="000000" w:sz="4" w:space="0"/>
              <w:bottom w:val="single" w:color="000000" w:sz="4" w:space="0"/>
              <w:right w:val="single" w:color="000000" w:sz="4" w:space="0"/>
            </w:tcBorders>
            <w:vAlign w:val="center"/>
          </w:tcPr>
          <w:p w14:paraId="4B69A799">
            <w:pPr>
              <w:widowControl/>
              <w:jc w:val="center"/>
              <w:textAlignment w:val="center"/>
              <w:rPr>
                <w:rFonts w:hint="eastAsia" w:ascii="宋体" w:hAnsi="宋体" w:eastAsia="宋体" w:cs="宋体"/>
                <w:b/>
                <w:bCs/>
                <w:color w:val="000000"/>
                <w:kern w:val="0"/>
                <w:sz w:val="18"/>
                <w:szCs w:val="18"/>
              </w:rPr>
            </w:pPr>
          </w:p>
        </w:tc>
        <w:tc>
          <w:tcPr>
            <w:tcW w:w="4088" w:type="dxa"/>
            <w:tcBorders>
              <w:top w:val="single" w:color="000000" w:sz="4" w:space="0"/>
              <w:left w:val="single" w:color="000000" w:sz="4" w:space="0"/>
              <w:bottom w:val="single" w:color="000000" w:sz="4" w:space="0"/>
              <w:right w:val="single" w:color="000000" w:sz="4" w:space="0"/>
            </w:tcBorders>
            <w:noWrap/>
            <w:vAlign w:val="center"/>
          </w:tcPr>
          <w:p w14:paraId="326E8C05">
            <w:pPr>
              <w:widowControl/>
              <w:jc w:val="center"/>
              <w:textAlignment w:val="center"/>
              <w:rPr>
                <w:rFonts w:hint="eastAsia" w:ascii="宋体" w:hAnsi="宋体" w:eastAsia="宋体" w:cs="宋体"/>
                <w:b/>
                <w:bCs/>
                <w:color w:val="000000"/>
                <w:kern w:val="0"/>
                <w:sz w:val="18"/>
                <w:szCs w:val="18"/>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0F9F93F7">
            <w:pPr>
              <w:widowControl/>
              <w:jc w:val="center"/>
              <w:textAlignment w:val="center"/>
              <w:rPr>
                <w:rFonts w:hint="eastAsia" w:ascii="宋体" w:hAnsi="宋体" w:eastAsia="宋体" w:cs="宋体"/>
                <w:b/>
                <w:bCs/>
                <w:color w:val="000000"/>
                <w:kern w:val="0"/>
                <w:sz w:val="18"/>
                <w:szCs w:val="18"/>
              </w:rPr>
            </w:pPr>
          </w:p>
        </w:tc>
        <w:tc>
          <w:tcPr>
            <w:tcW w:w="1245" w:type="dxa"/>
            <w:tcBorders>
              <w:top w:val="single" w:color="000000" w:sz="4" w:space="0"/>
              <w:left w:val="single" w:color="000000" w:sz="4" w:space="0"/>
              <w:bottom w:val="single" w:color="000000" w:sz="4" w:space="0"/>
              <w:right w:val="single" w:color="000000" w:sz="4" w:space="0"/>
            </w:tcBorders>
            <w:noWrap/>
            <w:vAlign w:val="center"/>
          </w:tcPr>
          <w:p w14:paraId="1FE63C72">
            <w:pPr>
              <w:widowControl/>
              <w:jc w:val="center"/>
              <w:textAlignment w:val="center"/>
              <w:rPr>
                <w:rFonts w:hint="eastAsia" w:ascii="宋体" w:hAnsi="宋体" w:eastAsia="宋体" w:cs="宋体"/>
                <w:b/>
                <w:bCs/>
                <w:color w:val="000000"/>
                <w:kern w:val="0"/>
                <w:sz w:val="18"/>
                <w:szCs w:val="18"/>
              </w:rPr>
            </w:pPr>
          </w:p>
        </w:tc>
        <w:tc>
          <w:tcPr>
            <w:tcW w:w="1215" w:type="dxa"/>
            <w:tcBorders>
              <w:top w:val="single" w:color="000000" w:sz="4" w:space="0"/>
              <w:left w:val="single" w:color="000000" w:sz="4" w:space="0"/>
              <w:bottom w:val="single" w:color="000000" w:sz="4" w:space="0"/>
              <w:right w:val="single" w:color="000000" w:sz="4" w:space="0"/>
            </w:tcBorders>
            <w:noWrap/>
            <w:vAlign w:val="center"/>
          </w:tcPr>
          <w:p w14:paraId="2698C889">
            <w:pPr>
              <w:widowControl/>
              <w:jc w:val="center"/>
              <w:textAlignment w:val="center"/>
              <w:rPr>
                <w:rFonts w:hint="eastAsia" w:ascii="宋体" w:hAnsi="宋体" w:eastAsia="宋体" w:cs="宋体"/>
                <w:b/>
                <w:bCs/>
                <w:color w:val="000000"/>
                <w:kern w:val="0"/>
                <w:sz w:val="18"/>
                <w:szCs w:val="18"/>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DCF999C">
            <w:pPr>
              <w:widowControl/>
              <w:jc w:val="center"/>
              <w:textAlignment w:val="center"/>
              <w:rPr>
                <w:rFonts w:hint="eastAsia" w:ascii="宋体" w:hAnsi="宋体" w:eastAsia="宋体" w:cs="宋体"/>
                <w:b/>
                <w:bCs/>
                <w:color w:val="000000"/>
                <w:kern w:val="0"/>
                <w:sz w:val="18"/>
                <w:szCs w:val="18"/>
              </w:rPr>
            </w:pPr>
          </w:p>
        </w:tc>
      </w:tr>
      <w:tr w14:paraId="5B080B95">
        <w:tblPrEx>
          <w:tblCellMar>
            <w:top w:w="0" w:type="dxa"/>
            <w:left w:w="108" w:type="dxa"/>
            <w:bottom w:w="0" w:type="dxa"/>
            <w:right w:w="108" w:type="dxa"/>
          </w:tblCellMar>
        </w:tblPrEx>
        <w:trPr>
          <w:trHeight w:val="557" w:hRule="atLeast"/>
        </w:trPr>
        <w:tc>
          <w:tcPr>
            <w:tcW w:w="10418" w:type="dxa"/>
            <w:gridSpan w:val="7"/>
            <w:tcBorders>
              <w:top w:val="single" w:color="000000" w:sz="4" w:space="0"/>
              <w:left w:val="single" w:color="000000" w:sz="4" w:space="0"/>
              <w:bottom w:val="single" w:color="000000" w:sz="4" w:space="0"/>
              <w:right w:val="single" w:color="000000" w:sz="4" w:space="0"/>
            </w:tcBorders>
            <w:noWrap/>
            <w:vAlign w:val="center"/>
          </w:tcPr>
          <w:p w14:paraId="76E762E2">
            <w:pPr>
              <w:widowControl/>
              <w:jc w:val="center"/>
              <w:textAlignment w:val="center"/>
              <w:rPr>
                <w:rFonts w:hint="default" w:ascii="宋体" w:hAnsi="宋体" w:eastAsia="宋体" w:cs="宋体"/>
                <w:b/>
                <w:bCs/>
                <w:color w:val="000000"/>
                <w:kern w:val="0"/>
                <w:sz w:val="18"/>
                <w:szCs w:val="18"/>
                <w:lang w:val="en-US" w:eastAsia="zh-CN"/>
              </w:rPr>
            </w:pPr>
            <w:r>
              <w:rPr>
                <w:rFonts w:hint="eastAsia" w:ascii="宋体" w:hAnsi="宋体" w:eastAsia="宋体" w:cs="宋体"/>
                <w:b/>
                <w:bCs/>
                <w:color w:val="000000"/>
                <w:kern w:val="0"/>
                <w:sz w:val="18"/>
                <w:szCs w:val="18"/>
                <w:lang w:eastAsia="zh-CN"/>
              </w:rPr>
              <w:t>合计：大写</w:t>
            </w:r>
            <w:r>
              <w:rPr>
                <w:rFonts w:hint="eastAsia" w:ascii="宋体" w:hAnsi="宋体" w:eastAsia="宋体" w:cs="宋体"/>
                <w:b/>
                <w:bCs/>
                <w:color w:val="000000"/>
                <w:kern w:val="0"/>
                <w:sz w:val="18"/>
                <w:szCs w:val="18"/>
                <w:lang w:val="en-US" w:eastAsia="zh-CN"/>
              </w:rPr>
              <w:t xml:space="preserve">         小写</w:t>
            </w:r>
          </w:p>
        </w:tc>
      </w:tr>
    </w:tbl>
    <w:p w14:paraId="742CEB99">
      <w:pPr>
        <w:rPr>
          <w:rFonts w:hint="eastAsia" w:ascii="宋体" w:hAnsi="宋体" w:eastAsia="宋体" w:cs="宋体"/>
          <w:b w:val="0"/>
          <w:bCs w:val="0"/>
          <w:color w:val="000000"/>
          <w:kern w:val="0"/>
          <w:sz w:val="24"/>
          <w:szCs w:val="24"/>
          <w:lang w:bidi="ar"/>
        </w:rPr>
      </w:pPr>
    </w:p>
    <w:p w14:paraId="05C849BC">
      <w:pPr>
        <w:pStyle w:val="2"/>
        <w:rPr>
          <w:rFonts w:hint="eastAsia"/>
        </w:rPr>
      </w:pPr>
    </w:p>
    <w:p w14:paraId="7CD9822D">
      <w:pPr>
        <w:rPr>
          <w:rFonts w:hint="eastAsia" w:ascii="宋体" w:hAnsi="宋体" w:eastAsia="宋体" w:cs="宋体"/>
          <w:b w:val="0"/>
          <w:bCs w:val="0"/>
          <w:color w:val="000000"/>
          <w:kern w:val="0"/>
          <w:sz w:val="32"/>
          <w:szCs w:val="32"/>
          <w:lang w:eastAsia="zh-CN" w:bidi="ar"/>
        </w:rPr>
      </w:pPr>
      <w:r>
        <w:rPr>
          <w:rFonts w:hint="eastAsia" w:ascii="宋体" w:hAnsi="宋体" w:eastAsia="宋体" w:cs="宋体"/>
          <w:b w:val="0"/>
          <w:bCs w:val="0"/>
          <w:color w:val="000000"/>
          <w:kern w:val="0"/>
          <w:sz w:val="32"/>
          <w:szCs w:val="32"/>
          <w:lang w:eastAsia="zh-CN" w:bidi="ar"/>
        </w:rPr>
        <w:t>报价单位（盖章）：</w:t>
      </w:r>
    </w:p>
    <w:p w14:paraId="5BFDF253">
      <w:pPr>
        <w:pStyle w:val="2"/>
        <w:rPr>
          <w:rFonts w:hint="eastAsia" w:ascii="宋体" w:hAnsi="宋体" w:eastAsia="宋体" w:cs="宋体"/>
          <w:b w:val="0"/>
          <w:bCs w:val="0"/>
          <w:color w:val="000000"/>
          <w:kern w:val="0"/>
          <w:sz w:val="32"/>
          <w:szCs w:val="32"/>
          <w:lang w:eastAsia="zh-CN" w:bidi="ar"/>
        </w:rPr>
      </w:pPr>
      <w:r>
        <w:rPr>
          <w:rFonts w:hint="eastAsia" w:ascii="宋体" w:hAnsi="宋体" w:eastAsia="宋体" w:cs="宋体"/>
          <w:b w:val="0"/>
          <w:bCs w:val="0"/>
          <w:color w:val="000000"/>
          <w:kern w:val="0"/>
          <w:sz w:val="32"/>
          <w:szCs w:val="32"/>
          <w:lang w:eastAsia="zh-CN" w:bidi="ar"/>
        </w:rPr>
        <w:t>联系人：</w:t>
      </w:r>
    </w:p>
    <w:p w14:paraId="313178CC">
      <w:pPr>
        <w:rPr>
          <w:rFonts w:hint="eastAsia" w:ascii="宋体" w:hAnsi="宋体" w:eastAsia="宋体" w:cs="宋体"/>
          <w:b w:val="0"/>
          <w:bCs w:val="0"/>
          <w:color w:val="000000"/>
          <w:kern w:val="0"/>
          <w:sz w:val="32"/>
          <w:szCs w:val="32"/>
          <w:lang w:eastAsia="zh-CN" w:bidi="ar"/>
        </w:rPr>
      </w:pPr>
      <w:r>
        <w:rPr>
          <w:rFonts w:hint="eastAsia" w:ascii="宋体" w:hAnsi="宋体" w:eastAsia="宋体" w:cs="宋体"/>
          <w:b w:val="0"/>
          <w:bCs w:val="0"/>
          <w:color w:val="000000"/>
          <w:kern w:val="0"/>
          <w:sz w:val="32"/>
          <w:szCs w:val="32"/>
          <w:lang w:eastAsia="zh-CN" w:bidi="ar"/>
        </w:rPr>
        <w:t>联系电话：</w:t>
      </w:r>
    </w:p>
    <w:p w14:paraId="2FBE2A36">
      <w:pPr>
        <w:pStyle w:val="2"/>
        <w:rPr>
          <w:rFonts w:hint="default"/>
          <w:sz w:val="32"/>
          <w:szCs w:val="32"/>
          <w:lang w:val="en-US" w:eastAsia="zh-CN"/>
        </w:rPr>
      </w:pPr>
      <w:r>
        <w:rPr>
          <w:rFonts w:hint="eastAsia" w:ascii="宋体" w:hAnsi="宋体" w:eastAsia="宋体" w:cs="宋体"/>
          <w:b w:val="0"/>
          <w:bCs w:val="0"/>
          <w:color w:val="000000"/>
          <w:kern w:val="0"/>
          <w:sz w:val="32"/>
          <w:szCs w:val="32"/>
          <w:lang w:eastAsia="zh-CN" w:bidi="ar"/>
        </w:rPr>
        <w:t>日期：</w:t>
      </w:r>
      <w:r>
        <w:rPr>
          <w:rFonts w:hint="eastAsia" w:ascii="宋体" w:hAnsi="宋体" w:eastAsia="宋体" w:cs="宋体"/>
          <w:b w:val="0"/>
          <w:bCs w:val="0"/>
          <w:color w:val="000000"/>
          <w:kern w:val="0"/>
          <w:sz w:val="32"/>
          <w:szCs w:val="32"/>
          <w:lang w:val="en-US" w:eastAsia="zh-CN" w:bidi="ar"/>
        </w:rPr>
        <w:t xml:space="preserve">    年   月   日</w:t>
      </w:r>
    </w:p>
    <w:p w14:paraId="2AE69E07">
      <w:pPr>
        <w:rPr>
          <w:rFonts w:hint="eastAsia" w:ascii="宋体" w:hAnsi="宋体" w:eastAsia="宋体" w:cs="宋体"/>
          <w:color w:val="auto"/>
          <w:sz w:val="24"/>
          <w:szCs w:val="24"/>
        </w:rPr>
      </w:pPr>
    </w:p>
    <w:p w14:paraId="66776B1A">
      <w:pPr>
        <w:pStyle w:val="2"/>
        <w:rPr>
          <w:rFonts w:hint="eastAsia" w:ascii="宋体" w:hAnsi="宋体" w:eastAsia="宋体" w:cs="宋体"/>
          <w:b w:val="0"/>
          <w:bCs w:val="0"/>
          <w:color w:val="000000"/>
          <w:kern w:val="0"/>
          <w:sz w:val="24"/>
          <w:szCs w:val="24"/>
          <w:lang w:bidi="ar"/>
        </w:rPr>
      </w:pPr>
    </w:p>
    <w:p w14:paraId="032CF5EB"/>
    <w:sectPr>
      <w:pgSz w:w="11906" w:h="16838"/>
      <w:pgMar w:top="1247" w:right="1417" w:bottom="124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Light">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245813"/>
    <w:multiLevelType w:val="singleLevel"/>
    <w:tmpl w:val="062458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1ZjZmNTJlZDZkMjk0OTM3NmJlNzEyMGFjMGRmZjcifQ=="/>
  </w:docVars>
  <w:rsids>
    <w:rsidRoot w:val="00D76A3E"/>
    <w:rsid w:val="00107471"/>
    <w:rsid w:val="00180C3A"/>
    <w:rsid w:val="001B1D6F"/>
    <w:rsid w:val="00324ECF"/>
    <w:rsid w:val="00506D64"/>
    <w:rsid w:val="00704341"/>
    <w:rsid w:val="00917D1F"/>
    <w:rsid w:val="00D76A3E"/>
    <w:rsid w:val="07F0181D"/>
    <w:rsid w:val="090C4E18"/>
    <w:rsid w:val="0F3942EE"/>
    <w:rsid w:val="0FA74F14"/>
    <w:rsid w:val="12902BB3"/>
    <w:rsid w:val="15910B7E"/>
    <w:rsid w:val="181D1E7F"/>
    <w:rsid w:val="195919B3"/>
    <w:rsid w:val="196E7EC0"/>
    <w:rsid w:val="1A9D7E39"/>
    <w:rsid w:val="1BF2201A"/>
    <w:rsid w:val="1D596426"/>
    <w:rsid w:val="1E0353FA"/>
    <w:rsid w:val="1F034C5D"/>
    <w:rsid w:val="20721F9A"/>
    <w:rsid w:val="20915ED7"/>
    <w:rsid w:val="20E26732"/>
    <w:rsid w:val="25850ABC"/>
    <w:rsid w:val="26296BB1"/>
    <w:rsid w:val="26466785"/>
    <w:rsid w:val="2DB256DE"/>
    <w:rsid w:val="2F0E629D"/>
    <w:rsid w:val="301306B6"/>
    <w:rsid w:val="312D57A8"/>
    <w:rsid w:val="34E83B0D"/>
    <w:rsid w:val="35DF0A23"/>
    <w:rsid w:val="39221294"/>
    <w:rsid w:val="3ABE3914"/>
    <w:rsid w:val="4061721C"/>
    <w:rsid w:val="446C2F73"/>
    <w:rsid w:val="46983A1B"/>
    <w:rsid w:val="46C40504"/>
    <w:rsid w:val="49B15FC0"/>
    <w:rsid w:val="4A23175A"/>
    <w:rsid w:val="4B7A73E4"/>
    <w:rsid w:val="4E8A5B90"/>
    <w:rsid w:val="4EBB06DC"/>
    <w:rsid w:val="4EBD6B86"/>
    <w:rsid w:val="4F9F39DA"/>
    <w:rsid w:val="51A2446A"/>
    <w:rsid w:val="51A51876"/>
    <w:rsid w:val="535E3F57"/>
    <w:rsid w:val="54116646"/>
    <w:rsid w:val="54ED0C26"/>
    <w:rsid w:val="57354D18"/>
    <w:rsid w:val="58240E03"/>
    <w:rsid w:val="589A10C5"/>
    <w:rsid w:val="59B77A55"/>
    <w:rsid w:val="5BE82147"/>
    <w:rsid w:val="5C9179B0"/>
    <w:rsid w:val="5C9B3F6A"/>
    <w:rsid w:val="60A966D2"/>
    <w:rsid w:val="612D7B03"/>
    <w:rsid w:val="625E3163"/>
    <w:rsid w:val="63911317"/>
    <w:rsid w:val="64801846"/>
    <w:rsid w:val="658D6042"/>
    <w:rsid w:val="699B37A5"/>
    <w:rsid w:val="6ABD25D7"/>
    <w:rsid w:val="6FD8589E"/>
    <w:rsid w:val="727E6F0A"/>
    <w:rsid w:val="73F73418"/>
    <w:rsid w:val="74277859"/>
    <w:rsid w:val="77B6705B"/>
    <w:rsid w:val="78EF3908"/>
    <w:rsid w:val="7AED2B18"/>
    <w:rsid w:val="7E375D7F"/>
    <w:rsid w:val="7E747B3F"/>
    <w:rsid w:val="7F4E6C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1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4"/>
    <w:qFormat/>
    <w:uiPriority w:val="0"/>
    <w:rPr>
      <w:rFonts w:ascii="仿宋_GB2312" w:hAnsi="Times New Roman" w:eastAsia="仿宋_GB2312" w:cs="Times New Roman"/>
      <w:kern w:val="0"/>
      <w:sz w:val="24"/>
      <w:szCs w:val="20"/>
    </w:rPr>
  </w:style>
  <w:style w:type="paragraph" w:styleId="5">
    <w:name w:val="Normal Indent"/>
    <w:basedOn w:val="1"/>
    <w:qFormat/>
    <w:uiPriority w:val="0"/>
    <w:pPr>
      <w:adjustRightInd w:val="0"/>
      <w:spacing w:line="360" w:lineRule="atLeast"/>
      <w:ind w:firstLine="482"/>
      <w:textAlignment w:val="baseline"/>
    </w:pPr>
    <w:rPr>
      <w:kern w:val="0"/>
      <w:sz w:val="24"/>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jc w:val="left"/>
    </w:pPr>
    <w:rPr>
      <w:rFonts w:cs="Times New Roman"/>
      <w:kern w:val="0"/>
      <w:sz w:val="24"/>
    </w:rPr>
  </w:style>
  <w:style w:type="character" w:customStyle="1" w:styleId="11">
    <w:name w:val="页眉 Char"/>
    <w:basedOn w:val="10"/>
    <w:link w:val="7"/>
    <w:qFormat/>
    <w:uiPriority w:val="99"/>
    <w:rPr>
      <w:sz w:val="18"/>
      <w:szCs w:val="18"/>
    </w:rPr>
  </w:style>
  <w:style w:type="character" w:customStyle="1" w:styleId="12">
    <w:name w:val="页脚 Char"/>
    <w:basedOn w:val="10"/>
    <w:link w:val="6"/>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正文文本 Char"/>
    <w:basedOn w:val="10"/>
    <w:link w:val="2"/>
    <w:qFormat/>
    <w:uiPriority w:val="0"/>
    <w:rPr>
      <w:rFonts w:ascii="仿宋_GB2312" w:hAnsi="Times New Roman" w:eastAsia="仿宋_GB2312" w:cs="Times New Roman"/>
      <w:kern w:val="0"/>
      <w:sz w:val="24"/>
      <w:szCs w:val="20"/>
    </w:rPr>
  </w:style>
  <w:style w:type="paragraph" w:styleId="15">
    <w:name w:val="No Spacing"/>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16">
    <w:name w:val="标题 1 Char"/>
    <w:basedOn w:val="10"/>
    <w:link w:val="3"/>
    <w:qFormat/>
    <w:uiPriority w:val="9"/>
    <w:rPr>
      <w:b/>
      <w:bCs/>
      <w:kern w:val="44"/>
      <w:sz w:val="44"/>
      <w:szCs w:val="44"/>
    </w:rPr>
  </w:style>
  <w:style w:type="character" w:customStyle="1" w:styleId="17">
    <w:name w:val="标题 2 Char"/>
    <w:basedOn w:val="10"/>
    <w:link w:val="4"/>
    <w:qFormat/>
    <w:uiPriority w:val="9"/>
    <w:rPr>
      <w:rFonts w:asciiTheme="majorHAnsi" w:hAnsiTheme="majorHAnsi" w:eastAsiaTheme="majorEastAsia" w:cstheme="majorBidi"/>
      <w:b/>
      <w:bCs/>
      <w:sz w:val="32"/>
      <w:szCs w:val="32"/>
    </w:rPr>
  </w:style>
  <w:style w:type="character" w:customStyle="1" w:styleId="18">
    <w:name w:val="font21"/>
    <w:basedOn w:val="10"/>
    <w:qFormat/>
    <w:uiPriority w:val="0"/>
    <w:rPr>
      <w:rFonts w:hint="eastAsia" w:ascii="宋体" w:hAnsi="宋体" w:eastAsia="宋体" w:cs="宋体"/>
      <w:color w:val="000000"/>
      <w:sz w:val="16"/>
      <w:szCs w:val="16"/>
      <w:u w:val="none"/>
    </w:rPr>
  </w:style>
  <w:style w:type="character" w:customStyle="1" w:styleId="19">
    <w:name w:val="font61"/>
    <w:basedOn w:val="10"/>
    <w:qFormat/>
    <w:uiPriority w:val="0"/>
    <w:rPr>
      <w:rFonts w:hint="eastAsia" w:ascii="宋体" w:hAnsi="宋体" w:eastAsia="宋体" w:cs="宋体"/>
      <w:color w:val="FF0000"/>
      <w:sz w:val="16"/>
      <w:szCs w:val="16"/>
      <w:u w:val="none"/>
    </w:rPr>
  </w:style>
  <w:style w:type="character" w:customStyle="1" w:styleId="20">
    <w:name w:val="font51"/>
    <w:basedOn w:val="10"/>
    <w:qFormat/>
    <w:uiPriority w:val="0"/>
    <w:rPr>
      <w:rFonts w:hint="eastAsia" w:ascii="宋体" w:hAnsi="宋体" w:eastAsia="宋体" w:cs="宋体"/>
      <w:color w:val="0070C0"/>
      <w:sz w:val="16"/>
      <w:szCs w:val="16"/>
      <w:u w:val="none"/>
    </w:rPr>
  </w:style>
  <w:style w:type="character" w:customStyle="1" w:styleId="21">
    <w:name w:val="font161"/>
    <w:basedOn w:val="10"/>
    <w:qFormat/>
    <w:uiPriority w:val="0"/>
    <w:rPr>
      <w:rFonts w:ascii="Arial" w:hAnsi="Arial" w:cs="Arial"/>
      <w:color w:val="000000"/>
      <w:sz w:val="16"/>
      <w:szCs w:val="16"/>
      <w:u w:val="none"/>
    </w:rPr>
  </w:style>
  <w:style w:type="character" w:customStyle="1" w:styleId="22">
    <w:name w:val="font41"/>
    <w:basedOn w:val="10"/>
    <w:qFormat/>
    <w:uiPriority w:val="0"/>
    <w:rPr>
      <w:rFonts w:hint="eastAsia" w:ascii="宋体" w:hAnsi="宋体" w:eastAsia="宋体" w:cs="宋体"/>
      <w:color w:val="000000"/>
      <w:sz w:val="16"/>
      <w:szCs w:val="16"/>
      <w:u w:val="none"/>
    </w:rPr>
  </w:style>
  <w:style w:type="character" w:customStyle="1" w:styleId="23">
    <w:name w:val="font191"/>
    <w:basedOn w:val="10"/>
    <w:qFormat/>
    <w:uiPriority w:val="0"/>
    <w:rPr>
      <w:rFonts w:ascii="微软雅黑" w:hAnsi="微软雅黑" w:eastAsia="微软雅黑" w:cs="微软雅黑"/>
      <w:color w:val="000000"/>
      <w:sz w:val="16"/>
      <w:szCs w:val="16"/>
      <w:u w:val="none"/>
    </w:rPr>
  </w:style>
  <w:style w:type="character" w:customStyle="1" w:styleId="24">
    <w:name w:val="15"/>
    <w:basedOn w:val="10"/>
    <w:qFormat/>
    <w:uiPriority w:val="0"/>
    <w:rPr>
      <w:rFonts w:hint="eastAsia" w:ascii="宋体" w:hAnsi="宋体" w:eastAsia="宋体"/>
      <w:color w:val="333333"/>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5408</Words>
  <Characters>6145</Characters>
  <Lines>221</Lines>
  <Paragraphs>62</Paragraphs>
  <TotalTime>33</TotalTime>
  <ScaleCrop>false</ScaleCrop>
  <LinksUpToDate>false</LinksUpToDate>
  <CharactersWithSpaces>6286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2022-09-21T02:56:00Z</dcterms:created>
  <dc:creator>chendl</dc:creator>
  <cp:lastModifiedBy>柒先生</cp:lastModifiedBy>
  <dcterms:modified xsi:type="dcterms:W3CDTF">2026-03-31T08:03:07Z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60A0B98891E849259ECA2D3EB0F76E88</vt:lpwstr>
  </property>
  <property fmtid="{D5CDD505-2E9C-101B-9397-08002B2CF9AE}" pid="4" name="KSOTemplateDocerSaveRecord">
    <vt:lpwstr>eyJoZGlkIjoiZGU1ZjZmNTJlZDZkMjk0OTM3NmJlNzEyMGFjMGRmZjciLCJ1c2VySWQiOiIzMDk4NDQ0MTIifQ==</vt:lpwstr>
  </property>
</Properties>
</file>